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80" w:rsidRDefault="005835FC" w:rsidP="00AF5EAE">
      <w:pPr>
        <w:widowControl w:val="0"/>
        <w:autoSpaceDE w:val="0"/>
        <w:autoSpaceDN w:val="0"/>
        <w:adjustRightInd w:val="0"/>
        <w:ind w:left="340"/>
        <w:jc w:val="center"/>
        <w:rPr>
          <w:rFonts w:ascii="Tahoma" w:hAnsi="Tahoma" w:cs="Tahoma"/>
          <w:b/>
          <w:bCs/>
          <w:color w:val="008000"/>
          <w:sz w:val="48"/>
          <w:szCs w:val="48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008000"/>
          <w:sz w:val="48"/>
          <w:szCs w:val="48"/>
        </w:rPr>
        <w:drawing>
          <wp:inline distT="0" distB="0" distL="0" distR="0">
            <wp:extent cx="2407920" cy="1333500"/>
            <wp:effectExtent l="0" t="0" r="0" b="0"/>
            <wp:docPr id="1" name="Immagine 1" descr="logo_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allav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F1" w:rsidRPr="008F0E80" w:rsidRDefault="00504E4D" w:rsidP="00AF5EAE">
      <w:pPr>
        <w:widowControl w:val="0"/>
        <w:autoSpaceDE w:val="0"/>
        <w:autoSpaceDN w:val="0"/>
        <w:adjustRightInd w:val="0"/>
        <w:ind w:left="340"/>
        <w:jc w:val="center"/>
        <w:rPr>
          <w:rFonts w:ascii="Tahoma" w:hAnsi="Tahoma" w:cs="Tahoma"/>
          <w:b/>
          <w:bCs/>
          <w:i/>
          <w:iCs/>
          <w:color w:val="0000FF"/>
          <w:sz w:val="46"/>
          <w:szCs w:val="46"/>
        </w:rPr>
      </w:pPr>
      <w:r w:rsidRPr="008F0E80">
        <w:rPr>
          <w:rFonts w:ascii="Tahoma" w:hAnsi="Tahoma" w:cs="Tahoma"/>
          <w:b/>
          <w:bCs/>
          <w:i/>
          <w:iCs/>
          <w:color w:val="0000FF"/>
          <w:sz w:val="46"/>
          <w:szCs w:val="46"/>
        </w:rPr>
        <w:t>Il settore</w:t>
      </w:r>
      <w:r w:rsidR="006E3FA5" w:rsidRPr="008F0E80">
        <w:rPr>
          <w:rFonts w:ascii="Tahoma" w:hAnsi="Tahoma" w:cs="Tahoma"/>
          <w:b/>
          <w:bCs/>
          <w:i/>
          <w:iCs/>
          <w:color w:val="0000FF"/>
          <w:sz w:val="46"/>
          <w:szCs w:val="46"/>
        </w:rPr>
        <w:t xml:space="preserve"> di attività</w:t>
      </w:r>
      <w:r w:rsidR="000D5AF1" w:rsidRPr="008F0E80">
        <w:rPr>
          <w:rFonts w:ascii="Tahoma" w:hAnsi="Tahoma" w:cs="Tahoma"/>
          <w:b/>
          <w:bCs/>
          <w:i/>
          <w:iCs/>
          <w:color w:val="0000FF"/>
          <w:sz w:val="46"/>
          <w:szCs w:val="46"/>
        </w:rPr>
        <w:t xml:space="preserve"> NAZIONALE PALLAVOLO UISP</w:t>
      </w:r>
    </w:p>
    <w:p w:rsidR="000D5AF1" w:rsidRPr="008F0E80" w:rsidRDefault="000D5AF1" w:rsidP="000D5AF1">
      <w:pPr>
        <w:widowControl w:val="0"/>
        <w:autoSpaceDE w:val="0"/>
        <w:autoSpaceDN w:val="0"/>
        <w:adjustRightInd w:val="0"/>
        <w:spacing w:line="193" w:lineRule="exact"/>
        <w:rPr>
          <w:rFonts w:ascii="Tahoma" w:hAnsi="Tahoma" w:cs="Tahoma"/>
          <w:b/>
          <w:bCs/>
          <w:i/>
          <w:iCs/>
          <w:color w:val="0000FF"/>
          <w:sz w:val="46"/>
          <w:szCs w:val="46"/>
        </w:rPr>
      </w:pPr>
    </w:p>
    <w:p w:rsidR="000D5AF1" w:rsidRPr="008F0E80" w:rsidRDefault="00AF5EAE" w:rsidP="00AF5EAE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ahoma" w:hAnsi="Tahoma" w:cs="Tahoma"/>
          <w:b/>
          <w:bCs/>
          <w:i/>
          <w:iCs/>
          <w:color w:val="0000FF"/>
          <w:sz w:val="46"/>
          <w:szCs w:val="46"/>
        </w:rPr>
      </w:pPr>
      <w:r w:rsidRPr="008F0E80">
        <w:rPr>
          <w:rFonts w:ascii="Tahoma" w:hAnsi="Tahoma" w:cs="Tahoma"/>
          <w:b/>
          <w:bCs/>
          <w:i/>
          <w:iCs/>
          <w:color w:val="0000FF"/>
          <w:sz w:val="46"/>
          <w:szCs w:val="46"/>
        </w:rPr>
        <w:t xml:space="preserve">  </w:t>
      </w:r>
      <w:r w:rsidR="000D5AF1" w:rsidRPr="008F0E80">
        <w:rPr>
          <w:rFonts w:ascii="Tahoma" w:hAnsi="Tahoma" w:cs="Tahoma"/>
          <w:b/>
          <w:bCs/>
          <w:i/>
          <w:iCs/>
          <w:color w:val="0000FF"/>
          <w:sz w:val="46"/>
          <w:szCs w:val="46"/>
        </w:rPr>
        <w:t xml:space="preserve">indice </w:t>
      </w:r>
    </w:p>
    <w:p w:rsidR="000D5AF1" w:rsidRPr="008F0E80" w:rsidRDefault="000D5AF1" w:rsidP="000D5AF1">
      <w:pPr>
        <w:widowControl w:val="0"/>
        <w:autoSpaceDE w:val="0"/>
        <w:autoSpaceDN w:val="0"/>
        <w:adjustRightInd w:val="0"/>
        <w:spacing w:line="323" w:lineRule="exact"/>
        <w:rPr>
          <w:rFonts w:ascii="Tahoma" w:hAnsi="Tahoma" w:cs="Tahoma"/>
          <w:b/>
          <w:bCs/>
          <w:i/>
          <w:iCs/>
          <w:color w:val="0000FF"/>
          <w:sz w:val="46"/>
          <w:szCs w:val="46"/>
        </w:rPr>
      </w:pPr>
    </w:p>
    <w:p w:rsidR="000D5AF1" w:rsidRPr="007B1EE2" w:rsidRDefault="000A40D5" w:rsidP="006E3FA5">
      <w:pPr>
        <w:widowControl w:val="0"/>
        <w:overflowPunct w:val="0"/>
        <w:autoSpaceDE w:val="0"/>
        <w:autoSpaceDN w:val="0"/>
        <w:adjustRightInd w:val="0"/>
        <w:spacing w:line="213" w:lineRule="auto"/>
        <w:ind w:left="2280" w:right="1340" w:hanging="965"/>
        <w:jc w:val="both"/>
        <w:rPr>
          <w:rFonts w:ascii="Tahoma" w:hAnsi="Tahoma" w:cs="Tahoma"/>
          <w:b/>
          <w:bCs/>
          <w:i/>
          <w:iCs/>
          <w:color w:val="00B050"/>
          <w:sz w:val="48"/>
          <w:szCs w:val="48"/>
        </w:rPr>
      </w:pPr>
      <w:r w:rsidRPr="007B1EE2">
        <w:rPr>
          <w:rFonts w:ascii="Tahoma" w:hAnsi="Tahoma" w:cs="Tahoma"/>
          <w:b/>
          <w:bCs/>
          <w:i/>
          <w:iCs/>
          <w:color w:val="00B050"/>
          <w:sz w:val="48"/>
          <w:szCs w:val="48"/>
        </w:rPr>
        <w:t>8</w:t>
      </w:r>
      <w:r w:rsidR="006E3FA5" w:rsidRPr="007B1EE2">
        <w:rPr>
          <w:rFonts w:ascii="Tahoma" w:hAnsi="Tahoma" w:cs="Tahoma"/>
          <w:b/>
          <w:bCs/>
          <w:i/>
          <w:iCs/>
          <w:color w:val="00B050"/>
          <w:sz w:val="48"/>
          <w:szCs w:val="48"/>
        </w:rPr>
        <w:t xml:space="preserve">^ Supercoppa Nazionale di </w:t>
      </w:r>
      <w:r w:rsidRPr="007B1EE2">
        <w:rPr>
          <w:rFonts w:ascii="Tahoma" w:hAnsi="Tahoma" w:cs="Tahoma"/>
          <w:b/>
          <w:bCs/>
          <w:i/>
          <w:iCs/>
          <w:color w:val="00B050"/>
          <w:sz w:val="48"/>
          <w:szCs w:val="48"/>
        </w:rPr>
        <w:t>p</w:t>
      </w:r>
      <w:r w:rsidR="000D5AF1" w:rsidRPr="007B1EE2">
        <w:rPr>
          <w:rFonts w:ascii="Tahoma" w:hAnsi="Tahoma" w:cs="Tahoma"/>
          <w:b/>
          <w:bCs/>
          <w:i/>
          <w:iCs/>
          <w:color w:val="00B050"/>
          <w:sz w:val="48"/>
          <w:szCs w:val="48"/>
        </w:rPr>
        <w:t>allavolo Mista 20</w:t>
      </w:r>
      <w:r w:rsidR="00CB3E8A" w:rsidRPr="007B1EE2">
        <w:rPr>
          <w:rFonts w:ascii="Tahoma" w:hAnsi="Tahoma" w:cs="Tahoma"/>
          <w:b/>
          <w:bCs/>
          <w:i/>
          <w:iCs/>
          <w:color w:val="00B050"/>
          <w:sz w:val="48"/>
          <w:szCs w:val="48"/>
        </w:rPr>
        <w:t>2</w:t>
      </w:r>
      <w:r w:rsidRPr="007B1EE2">
        <w:rPr>
          <w:rFonts w:ascii="Tahoma" w:hAnsi="Tahoma" w:cs="Tahoma"/>
          <w:b/>
          <w:bCs/>
          <w:i/>
          <w:iCs/>
          <w:color w:val="00B050"/>
          <w:sz w:val="48"/>
          <w:szCs w:val="48"/>
        </w:rPr>
        <w:t>2</w:t>
      </w:r>
    </w:p>
    <w:p w:rsidR="000D5AF1" w:rsidRPr="000D5AF1" w:rsidRDefault="000D5AF1" w:rsidP="000D5AF1">
      <w:pPr>
        <w:widowControl w:val="0"/>
        <w:autoSpaceDE w:val="0"/>
        <w:autoSpaceDN w:val="0"/>
        <w:adjustRightInd w:val="0"/>
        <w:spacing w:line="297" w:lineRule="exact"/>
        <w:rPr>
          <w:sz w:val="18"/>
          <w:szCs w:val="18"/>
        </w:rPr>
      </w:pPr>
    </w:p>
    <w:p w:rsidR="007B1EE2" w:rsidRDefault="007B1EE2" w:rsidP="00D74E64">
      <w:pPr>
        <w:jc w:val="both"/>
        <w:rPr>
          <w:rFonts w:ascii="Verdana" w:hAnsi="Verdana"/>
          <w:b/>
        </w:rPr>
      </w:pPr>
    </w:p>
    <w:p w:rsidR="007B1EE2" w:rsidRDefault="007B1EE2" w:rsidP="00D74E64">
      <w:pPr>
        <w:jc w:val="both"/>
        <w:rPr>
          <w:rFonts w:ascii="Verdana" w:hAnsi="Verdana"/>
          <w:bCs/>
        </w:rPr>
      </w:pPr>
      <w:r w:rsidRPr="007B1EE2">
        <w:rPr>
          <w:rFonts w:ascii="Verdana" w:hAnsi="Verdana"/>
          <w:bCs/>
        </w:rPr>
        <w:t xml:space="preserve">Dopo </w:t>
      </w:r>
      <w:r>
        <w:rPr>
          <w:rFonts w:ascii="Verdana" w:hAnsi="Verdana"/>
          <w:bCs/>
        </w:rPr>
        <w:t>il picco della pandemia che ha bloccato l’attività per oltre un anno e dopo le Finali della Supercoppa Nazionale 2021 disputate a Firenze nei giorni 20 e 21 novembre</w:t>
      </w:r>
      <w:r w:rsidR="007D6D2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="007D6D21">
        <w:rPr>
          <w:rFonts w:ascii="Verdana" w:hAnsi="Verdana"/>
          <w:bCs/>
        </w:rPr>
        <w:t>La ripresa delle attività in tutti i territori ci consente di organizzare le Finali di Supercoppa 2022.</w:t>
      </w:r>
    </w:p>
    <w:p w:rsidR="007D6D21" w:rsidRDefault="007D6D21" w:rsidP="00D74E64">
      <w:pPr>
        <w:jc w:val="both"/>
        <w:rPr>
          <w:rFonts w:ascii="Verdana" w:hAnsi="Verdana"/>
          <w:bCs/>
        </w:rPr>
      </w:pPr>
    </w:p>
    <w:p w:rsidR="007D6D21" w:rsidRPr="007D6D21" w:rsidRDefault="007D6D21" w:rsidP="00D74E64">
      <w:pPr>
        <w:jc w:val="both"/>
        <w:rPr>
          <w:rFonts w:ascii="Verdana" w:hAnsi="Verdana" w:cs="Helvetica"/>
        </w:rPr>
      </w:pPr>
      <w:r w:rsidRPr="00C17674">
        <w:rPr>
          <w:rFonts w:ascii="Verdana" w:hAnsi="Verdana" w:cs="Helvetica"/>
          <w:b/>
        </w:rPr>
        <w:t>ACCESSO</w:t>
      </w:r>
      <w:r w:rsidRPr="00C17674">
        <w:rPr>
          <w:rFonts w:ascii="Verdana" w:hAnsi="Verdana" w:cs="Helvetica"/>
        </w:rPr>
        <w:t xml:space="preserve"> </w:t>
      </w:r>
      <w:r>
        <w:rPr>
          <w:rFonts w:ascii="Verdana" w:hAnsi="Verdana" w:cs="Helvetica"/>
          <w:b/>
        </w:rPr>
        <w:t>alla 8’ SUPERCOPPA NAZIONALE</w:t>
      </w:r>
      <w:r w:rsidRPr="00C17674">
        <w:rPr>
          <w:rFonts w:ascii="Verdana" w:hAnsi="Verdana" w:cs="Helvetica"/>
        </w:rPr>
        <w:t xml:space="preserve">: </w:t>
      </w:r>
      <w:r>
        <w:rPr>
          <w:rFonts w:ascii="Verdana" w:hAnsi="Verdana" w:cs="Helvetica"/>
        </w:rPr>
        <w:t xml:space="preserve">Parteciperanno le squadre che ne faranno richiesta. </w:t>
      </w:r>
      <w:r>
        <w:rPr>
          <w:rFonts w:ascii="Verdana" w:hAnsi="Verdana"/>
          <w:b/>
        </w:rPr>
        <w:t xml:space="preserve">Al raggiungimento di 12 squadre iscritte </w:t>
      </w:r>
      <w:r w:rsidRPr="007D6D21">
        <w:rPr>
          <w:rFonts w:ascii="Verdana" w:hAnsi="Verdana"/>
          <w:b/>
          <w:color w:val="FF0000"/>
        </w:rPr>
        <w:t xml:space="preserve">saranno chiuse le iscrizioni stesse. </w:t>
      </w:r>
    </w:p>
    <w:p w:rsidR="00376E88" w:rsidRPr="00D74E64" w:rsidRDefault="00376E88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  <w:r w:rsidRPr="00D74E64">
        <w:rPr>
          <w:rFonts w:ascii="Verdana" w:hAnsi="Verdana"/>
          <w:b/>
        </w:rPr>
        <w:t>PERIODO di svolgimento</w:t>
      </w:r>
      <w:r w:rsidR="00F3748C">
        <w:rPr>
          <w:rFonts w:ascii="Verdana" w:hAnsi="Verdana"/>
        </w:rPr>
        <w:t xml:space="preserve">: le finali di Supercoppa saranno organizzate i giorni </w:t>
      </w:r>
      <w:r w:rsidR="00F3748C" w:rsidRPr="00F3748C">
        <w:rPr>
          <w:rFonts w:ascii="Verdana" w:hAnsi="Verdana"/>
          <w:b/>
          <w:color w:val="FF0000"/>
        </w:rPr>
        <w:t>9-10 aprile 2022</w:t>
      </w:r>
      <w:r w:rsidR="00F3748C">
        <w:rPr>
          <w:rFonts w:ascii="Verdana" w:hAnsi="Verdana"/>
          <w:b/>
          <w:color w:val="FF0000"/>
        </w:rPr>
        <w:t xml:space="preserve"> a Martellago (VE)</w:t>
      </w:r>
      <w:r w:rsidR="00255458">
        <w:rPr>
          <w:rFonts w:ascii="Verdana" w:hAnsi="Verdana"/>
        </w:rPr>
        <w:t xml:space="preserve">. </w:t>
      </w:r>
    </w:p>
    <w:p w:rsidR="000D5AF1" w:rsidRPr="00D74E64" w:rsidRDefault="000D5AF1" w:rsidP="00D74E64">
      <w:pPr>
        <w:jc w:val="both"/>
        <w:rPr>
          <w:rFonts w:ascii="Verdana" w:hAnsi="Verdana"/>
        </w:rPr>
      </w:pPr>
    </w:p>
    <w:p w:rsidR="000D5AF1" w:rsidRDefault="000D5AF1" w:rsidP="001549E9">
      <w:pPr>
        <w:jc w:val="both"/>
        <w:rPr>
          <w:rFonts w:ascii="Verdana" w:hAnsi="Verdana"/>
        </w:rPr>
      </w:pPr>
      <w:r w:rsidRPr="00D74E64">
        <w:rPr>
          <w:rFonts w:ascii="Verdana" w:hAnsi="Verdana"/>
          <w:b/>
        </w:rPr>
        <w:t>ORGANIZZAZIONE</w:t>
      </w:r>
      <w:r w:rsidRPr="00D74E64">
        <w:rPr>
          <w:rFonts w:ascii="Verdana" w:hAnsi="Verdana"/>
        </w:rPr>
        <w:t xml:space="preserve">: </w:t>
      </w:r>
      <w:r w:rsidR="00CA1966" w:rsidRPr="00D74E64">
        <w:rPr>
          <w:rFonts w:ascii="Verdana" w:hAnsi="Verdana"/>
        </w:rPr>
        <w:t xml:space="preserve">Saranno </w:t>
      </w:r>
      <w:r w:rsidR="00CA1966" w:rsidRPr="00D74E64">
        <w:rPr>
          <w:rFonts w:ascii="Verdana" w:hAnsi="Verdana"/>
          <w:b/>
        </w:rPr>
        <w:t>sorteggiati</w:t>
      </w:r>
      <w:r w:rsidR="00CA1966" w:rsidRPr="00D74E64">
        <w:rPr>
          <w:rFonts w:ascii="Verdana" w:hAnsi="Verdana"/>
        </w:rPr>
        <w:t xml:space="preserve"> 4 gironi da 3 squadre</w:t>
      </w:r>
      <w:r w:rsidR="00E06F9E" w:rsidRPr="00D74E64">
        <w:rPr>
          <w:rFonts w:ascii="Verdana" w:hAnsi="Verdana"/>
        </w:rPr>
        <w:t xml:space="preserve">. Ad ogni girone verrà assegnata una </w:t>
      </w:r>
      <w:r w:rsidR="00E06F9E" w:rsidRPr="00D74E64">
        <w:rPr>
          <w:rFonts w:ascii="Verdana" w:hAnsi="Verdana"/>
          <w:u w:val="single"/>
        </w:rPr>
        <w:t>TESTA DI SERIE</w:t>
      </w:r>
      <w:r w:rsidR="00E06F9E" w:rsidRPr="00D74E64">
        <w:rPr>
          <w:rFonts w:ascii="Verdana" w:hAnsi="Verdana"/>
        </w:rPr>
        <w:t xml:space="preserve"> in base al rating delle squadre per i risultati ottenuti nelle 2 edizioni precedenti della SUPERCOPPA e dei CAMPIONATI NAZIONALI</w:t>
      </w:r>
      <w:r w:rsidR="00D864E8">
        <w:rPr>
          <w:rFonts w:ascii="Verdana" w:hAnsi="Verdana"/>
        </w:rPr>
        <w:t xml:space="preserve"> </w:t>
      </w:r>
      <w:r w:rsidR="00D864E8" w:rsidRPr="00335CFF">
        <w:rPr>
          <w:rFonts w:ascii="Verdana" w:hAnsi="Verdana"/>
        </w:rPr>
        <w:t>(la scelta in ogni caso verrà effettuata ad insindacabile giudizio della SdA Nazionale)</w:t>
      </w:r>
      <w:r w:rsidR="00CA1966" w:rsidRPr="00335CFF">
        <w:rPr>
          <w:rFonts w:ascii="Verdana" w:hAnsi="Verdana"/>
        </w:rPr>
        <w:t>.</w:t>
      </w:r>
      <w:r w:rsidR="00E06F9E" w:rsidRPr="00D74E64">
        <w:rPr>
          <w:rFonts w:ascii="Verdana" w:hAnsi="Verdana"/>
        </w:rPr>
        <w:t xml:space="preserve"> Tali gironi giocheranno le partite il sabato mattina.</w:t>
      </w:r>
      <w:r w:rsidR="00CA1966" w:rsidRPr="00D74E64">
        <w:rPr>
          <w:rFonts w:ascii="Verdana" w:hAnsi="Verdana"/>
        </w:rPr>
        <w:t xml:space="preserve"> Ai quarti di finale</w:t>
      </w:r>
      <w:r w:rsidR="0066126B">
        <w:rPr>
          <w:rFonts w:ascii="Verdana" w:hAnsi="Verdana"/>
        </w:rPr>
        <w:t>, che</w:t>
      </w:r>
      <w:r w:rsidR="00CA1966" w:rsidRPr="00D74E64">
        <w:rPr>
          <w:rFonts w:ascii="Verdana" w:hAnsi="Verdana"/>
        </w:rPr>
        <w:t xml:space="preserve"> </w:t>
      </w:r>
      <w:r w:rsidR="0066126B" w:rsidRPr="00D74E64">
        <w:rPr>
          <w:rFonts w:ascii="Verdana" w:hAnsi="Verdana"/>
        </w:rPr>
        <w:t>verranno giocati il sabato pomeriggio</w:t>
      </w:r>
      <w:r w:rsidR="0066126B">
        <w:rPr>
          <w:rFonts w:ascii="Verdana" w:hAnsi="Verdana"/>
        </w:rPr>
        <w:t>,</w:t>
      </w:r>
      <w:r w:rsidR="0066126B" w:rsidRPr="00D74E64">
        <w:rPr>
          <w:rFonts w:ascii="Verdana" w:hAnsi="Verdana"/>
        </w:rPr>
        <w:t xml:space="preserve"> </w:t>
      </w:r>
      <w:r w:rsidR="001549E9">
        <w:rPr>
          <w:rFonts w:ascii="Verdana" w:hAnsi="Verdana"/>
        </w:rPr>
        <w:t>si qualificherà la prima classificata di ogni girone.</w:t>
      </w:r>
    </w:p>
    <w:p w:rsidR="001549E9" w:rsidRDefault="001549E9" w:rsidP="001549E9">
      <w:pPr>
        <w:jc w:val="both"/>
        <w:rPr>
          <w:rFonts w:ascii="Verdana" w:hAnsi="Verdana"/>
        </w:rPr>
      </w:pPr>
      <w:r>
        <w:rPr>
          <w:rFonts w:ascii="Verdana" w:hAnsi="Verdana"/>
        </w:rPr>
        <w:t>Le seconde e le terze classificate giocheranno gli ottavi di finale. Le vincenti degli ottavi andranno a scontrarsi con le prime classificate.</w:t>
      </w:r>
    </w:p>
    <w:p w:rsidR="001549E9" w:rsidRDefault="001549E9" w:rsidP="001549E9">
      <w:pPr>
        <w:jc w:val="both"/>
        <w:rPr>
          <w:rFonts w:ascii="Verdana" w:hAnsi="Verdana"/>
        </w:rPr>
      </w:pPr>
      <w:r>
        <w:rPr>
          <w:rFonts w:ascii="Verdana" w:hAnsi="Verdana"/>
        </w:rPr>
        <w:t>Le vincenti dei quarti di finale giocheranno sabato pomeriggio le semifinali 1’-4’ posto.</w:t>
      </w:r>
    </w:p>
    <w:p w:rsidR="00182417" w:rsidRPr="00D74E64" w:rsidRDefault="001549E9" w:rsidP="00182417">
      <w:pPr>
        <w:jc w:val="both"/>
        <w:rPr>
          <w:rFonts w:ascii="Verdana" w:hAnsi="Verdana"/>
        </w:rPr>
      </w:pPr>
      <w:r>
        <w:rPr>
          <w:rFonts w:ascii="Verdana" w:hAnsi="Verdana"/>
        </w:rPr>
        <w:t>Le perdenti degli ottavi di finale e dei quarti di finale giocheranno domenica mattina le finali di consolazione da 5 al 12 posto. Gli abbinamenti saranno fatti in base al quoziente punti delle partite giocate: le due peggiori perdenti degli ottavi di finale giocheranno la finalina 11’-12’ posto. Le due migliori perdenti degli ottavi di finale giocheranno la finalina 9’-10’ posto. Le due peggiori perdenti dei quarti di finale giocheranno la finalina 7’-8’ posto. Le due migliori perdenti dei quarti di finale giocheranno la finalina 5’-6’ posto.</w:t>
      </w:r>
    </w:p>
    <w:p w:rsidR="00182417" w:rsidRPr="00D74E64" w:rsidRDefault="00182417" w:rsidP="00182417">
      <w:pPr>
        <w:jc w:val="both"/>
        <w:rPr>
          <w:rFonts w:ascii="Verdana" w:hAnsi="Verdana"/>
        </w:rPr>
      </w:pPr>
      <w:r w:rsidRPr="00D74E64">
        <w:rPr>
          <w:rFonts w:ascii="Verdana" w:hAnsi="Verdana"/>
        </w:rPr>
        <w:lastRenderedPageBreak/>
        <w:t>L</w:t>
      </w:r>
      <w:r>
        <w:rPr>
          <w:rFonts w:ascii="Verdana" w:hAnsi="Verdana"/>
        </w:rPr>
        <w:t>a domenica mattina, oltre alle due gare per stabilire la classifica dal 9° al 12° posto:</w:t>
      </w:r>
      <w:r w:rsidR="001549E9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D74E64">
        <w:rPr>
          <w:rFonts w:ascii="Verdana" w:hAnsi="Verdana"/>
        </w:rPr>
        <w:t>e perdenti delle semifinali giocheranno la finalina 3°-4° posto.</w:t>
      </w:r>
    </w:p>
    <w:p w:rsidR="00182417" w:rsidRDefault="001549E9" w:rsidP="00182417">
      <w:p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182417" w:rsidRPr="00335CFF">
        <w:rPr>
          <w:rFonts w:ascii="Verdana" w:hAnsi="Verdana"/>
        </w:rPr>
        <w:t>e vincenti delle semifinali, giocheranno la finalissima: UNICA GARA al meglio dei 5 set.</w:t>
      </w:r>
    </w:p>
    <w:p w:rsidR="00F544B8" w:rsidRPr="00D74E64" w:rsidRDefault="00F544B8" w:rsidP="00182417">
      <w:pPr>
        <w:jc w:val="both"/>
        <w:rPr>
          <w:rFonts w:ascii="Verdana" w:hAnsi="Verdana"/>
        </w:rPr>
      </w:pPr>
    </w:p>
    <w:p w:rsidR="00182417" w:rsidRPr="00D74E64" w:rsidRDefault="00182417" w:rsidP="00182417">
      <w:pPr>
        <w:jc w:val="both"/>
        <w:rPr>
          <w:rFonts w:ascii="Verdana" w:hAnsi="Verdana"/>
        </w:rPr>
      </w:pPr>
      <w:r>
        <w:rPr>
          <w:rFonts w:ascii="Verdana" w:hAnsi="Verdana"/>
        </w:rPr>
        <w:t>Tutte le gare eccetto la finalissima, si giocheranno al meglio dei 3 set e verrà attribuito un punto a set vinto. Per stabilire la classifica verranno adottati i seguenti criteri: maggiori punti in classifica, a parità di punti si terrà conto del miglior quoziente set e in caso di ulteriore parità, del miglior quoziente punti.</w:t>
      </w:r>
    </w:p>
    <w:p w:rsidR="00182417" w:rsidRPr="00C17674" w:rsidRDefault="00182417" w:rsidP="00182417">
      <w:pPr>
        <w:jc w:val="both"/>
        <w:rPr>
          <w:rFonts w:ascii="Verdana" w:hAnsi="Verdana" w:cs="Helvetica"/>
        </w:rPr>
      </w:pPr>
    </w:p>
    <w:p w:rsidR="000D5AF1" w:rsidRDefault="000D5AF1" w:rsidP="00D74E64">
      <w:pPr>
        <w:jc w:val="both"/>
        <w:rPr>
          <w:rFonts w:ascii="Verdana" w:hAnsi="Verdana"/>
        </w:rPr>
      </w:pPr>
      <w:r w:rsidRPr="00D74E64">
        <w:rPr>
          <w:rFonts w:ascii="Verdana" w:hAnsi="Verdana"/>
        </w:rPr>
        <w:t xml:space="preserve">La </w:t>
      </w:r>
      <w:r w:rsidRPr="00717FBA">
        <w:rPr>
          <w:rFonts w:ascii="Verdana" w:hAnsi="Verdana"/>
          <w:b/>
        </w:rPr>
        <w:t xml:space="preserve">Società Sportiva </w:t>
      </w:r>
      <w:proofErr w:type="spellStart"/>
      <w:r w:rsidR="00255458">
        <w:rPr>
          <w:rFonts w:ascii="Verdana" w:hAnsi="Verdana"/>
          <w:b/>
        </w:rPr>
        <w:t>Beerbanti</w:t>
      </w:r>
      <w:proofErr w:type="spellEnd"/>
      <w:r w:rsidR="00255458">
        <w:rPr>
          <w:rFonts w:ascii="Verdana" w:hAnsi="Verdana"/>
          <w:b/>
        </w:rPr>
        <w:t xml:space="preserve"> Martellago</w:t>
      </w:r>
      <w:r w:rsidRPr="00D74E64">
        <w:rPr>
          <w:rFonts w:ascii="Verdana" w:hAnsi="Verdana"/>
        </w:rPr>
        <w:t xml:space="preserve">, vincitrice della </w:t>
      </w:r>
      <w:r w:rsidR="00255458">
        <w:rPr>
          <w:rFonts w:ascii="Verdana" w:hAnsi="Verdana"/>
        </w:rPr>
        <w:t>7</w:t>
      </w:r>
      <w:r w:rsidRPr="00D74E64">
        <w:rPr>
          <w:rFonts w:ascii="Verdana" w:hAnsi="Verdana"/>
        </w:rPr>
        <w:t>°</w:t>
      </w:r>
      <w:r w:rsidR="001C7B6D" w:rsidRPr="00D74E64">
        <w:rPr>
          <w:rFonts w:ascii="Verdana" w:hAnsi="Verdana"/>
        </w:rPr>
        <w:t xml:space="preserve"> </w:t>
      </w:r>
      <w:r w:rsidRPr="00D74E64">
        <w:rPr>
          <w:rFonts w:ascii="Verdana" w:hAnsi="Verdana"/>
        </w:rPr>
        <w:t xml:space="preserve">Supercoppa, rimetterà in palio il Trofeo che passerà alla Squadra vincitrice della </w:t>
      </w:r>
      <w:r w:rsidR="00255458">
        <w:rPr>
          <w:rFonts w:ascii="Verdana" w:hAnsi="Verdana"/>
        </w:rPr>
        <w:t>8</w:t>
      </w:r>
      <w:r w:rsidRPr="00D74E64">
        <w:rPr>
          <w:rFonts w:ascii="Verdana" w:hAnsi="Verdana"/>
        </w:rPr>
        <w:t>° edizione</w:t>
      </w:r>
      <w:r w:rsidR="00255458">
        <w:rPr>
          <w:rFonts w:ascii="Verdana" w:hAnsi="Verdana"/>
        </w:rPr>
        <w:t>. La SUPERCOPPA 2022</w:t>
      </w:r>
      <w:r w:rsidR="00257486" w:rsidRPr="00D74E64">
        <w:rPr>
          <w:rFonts w:ascii="Verdana" w:hAnsi="Verdana"/>
        </w:rPr>
        <w:t xml:space="preserve"> verrà consegnata al “pranzo delle premiazioni” successivamente alle finali.</w:t>
      </w:r>
    </w:p>
    <w:p w:rsidR="00182417" w:rsidRPr="00D74E64" w:rsidRDefault="001549E9" w:rsidP="00D74E64">
      <w:p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66126B">
        <w:rPr>
          <w:rFonts w:ascii="Verdana" w:hAnsi="Verdana"/>
        </w:rPr>
        <w:t xml:space="preserve">a squadra che </w:t>
      </w:r>
      <w:r>
        <w:rPr>
          <w:rFonts w:ascii="Verdana" w:hAnsi="Verdana"/>
        </w:rPr>
        <w:t>vincerà la Supercoppa per tre volte la</w:t>
      </w:r>
      <w:r w:rsidR="0066126B">
        <w:rPr>
          <w:rFonts w:ascii="Verdana" w:hAnsi="Verdana"/>
        </w:rPr>
        <w:t xml:space="preserve"> acquisirà definitivamente</w:t>
      </w:r>
    </w:p>
    <w:p w:rsidR="00492496" w:rsidRPr="00D74E64" w:rsidRDefault="00492496" w:rsidP="00D74E64">
      <w:pPr>
        <w:jc w:val="both"/>
        <w:rPr>
          <w:rFonts w:ascii="Verdana" w:hAnsi="Verdana"/>
        </w:rPr>
      </w:pPr>
    </w:p>
    <w:p w:rsidR="000D5AF1" w:rsidRPr="00717FBA" w:rsidRDefault="000D5AF1" w:rsidP="001549E9">
      <w:pPr>
        <w:jc w:val="both"/>
        <w:rPr>
          <w:rFonts w:ascii="Verdana" w:hAnsi="Verdana"/>
        </w:rPr>
      </w:pPr>
      <w:r w:rsidRPr="00717FBA">
        <w:rPr>
          <w:rFonts w:ascii="Verdana" w:hAnsi="Verdana"/>
          <w:b/>
        </w:rPr>
        <w:t>QUOTA di partecipazione</w:t>
      </w:r>
      <w:r w:rsidR="001549E9">
        <w:rPr>
          <w:rFonts w:ascii="Verdana" w:hAnsi="Verdana"/>
          <w:b/>
        </w:rPr>
        <w:t xml:space="preserve">: </w:t>
      </w:r>
    </w:p>
    <w:p w:rsidR="000D5AF1" w:rsidRPr="00D74E64" w:rsidRDefault="000D5AF1" w:rsidP="00D74E64">
      <w:pPr>
        <w:jc w:val="both"/>
        <w:rPr>
          <w:rFonts w:ascii="Verdana" w:hAnsi="Verdana"/>
          <w:highlight w:val="yellow"/>
        </w:rPr>
      </w:pPr>
    </w:p>
    <w:p w:rsidR="000D5AF1" w:rsidRPr="00D74E64" w:rsidRDefault="00A13D83" w:rsidP="00D74E64">
      <w:pPr>
        <w:jc w:val="both"/>
        <w:rPr>
          <w:rFonts w:ascii="Verdana" w:hAnsi="Verdana"/>
        </w:rPr>
      </w:pPr>
      <w:r w:rsidRPr="00335CFF">
        <w:rPr>
          <w:rFonts w:ascii="Verdana" w:hAnsi="Verdana"/>
          <w:highlight w:val="yellow"/>
        </w:rPr>
        <w:t>Per l’organizzazione dell</w:t>
      </w:r>
      <w:r w:rsidR="00EE4559" w:rsidRPr="00335CFF">
        <w:rPr>
          <w:rFonts w:ascii="Verdana" w:hAnsi="Verdana"/>
          <w:highlight w:val="yellow"/>
        </w:rPr>
        <w:t>a FASE FINALE il contributo che</w:t>
      </w:r>
      <w:r w:rsidRPr="00335CFF">
        <w:rPr>
          <w:rFonts w:ascii="Verdana" w:hAnsi="Verdana"/>
          <w:highlight w:val="yellow"/>
        </w:rPr>
        <w:t xml:space="preserve"> l</w:t>
      </w:r>
      <w:r w:rsidR="000D5AF1" w:rsidRPr="00335CFF">
        <w:rPr>
          <w:rFonts w:ascii="Verdana" w:hAnsi="Verdana"/>
          <w:highlight w:val="yellow"/>
        </w:rPr>
        <w:t>a U</w:t>
      </w:r>
      <w:r w:rsidR="003F0605" w:rsidRPr="00335CFF">
        <w:rPr>
          <w:rFonts w:ascii="Verdana" w:hAnsi="Verdana"/>
          <w:highlight w:val="yellow"/>
        </w:rPr>
        <w:t>ISP</w:t>
      </w:r>
      <w:r w:rsidR="000D5AF1" w:rsidRPr="00335CFF">
        <w:rPr>
          <w:rFonts w:ascii="Verdana" w:hAnsi="Verdana"/>
          <w:highlight w:val="yellow"/>
        </w:rPr>
        <w:t xml:space="preserve"> </w:t>
      </w:r>
      <w:r w:rsidRPr="00335CFF">
        <w:rPr>
          <w:rFonts w:ascii="Verdana" w:hAnsi="Verdana"/>
          <w:highlight w:val="yellow"/>
        </w:rPr>
        <w:t>richiede</w:t>
      </w:r>
      <w:r w:rsidR="00EE4559" w:rsidRPr="00335CFF">
        <w:rPr>
          <w:rFonts w:ascii="Verdana" w:hAnsi="Verdana"/>
          <w:highlight w:val="yellow"/>
        </w:rPr>
        <w:t xml:space="preserve"> è pari a</w:t>
      </w:r>
      <w:r w:rsidR="001549E9">
        <w:rPr>
          <w:rFonts w:ascii="Verdana" w:hAnsi="Verdana"/>
          <w:highlight w:val="yellow"/>
        </w:rPr>
        <w:t xml:space="preserve"> 200</w:t>
      </w:r>
      <w:r w:rsidRPr="00335CFF">
        <w:rPr>
          <w:rFonts w:ascii="Verdana" w:hAnsi="Verdana"/>
          <w:highlight w:val="yellow"/>
        </w:rPr>
        <w:t xml:space="preserve"> euro che saranno utilizzati per gli arbitraggi</w:t>
      </w:r>
      <w:r w:rsidR="00EE4559" w:rsidRPr="00335CFF">
        <w:rPr>
          <w:rFonts w:ascii="Verdana" w:hAnsi="Verdana"/>
          <w:highlight w:val="yellow"/>
        </w:rPr>
        <w:t>,</w:t>
      </w:r>
      <w:r w:rsidRPr="00335CFF">
        <w:rPr>
          <w:rFonts w:ascii="Verdana" w:hAnsi="Verdana"/>
          <w:highlight w:val="yellow"/>
        </w:rPr>
        <w:t xml:space="preserve"> ma</w:t>
      </w:r>
      <w:r w:rsidR="00EE4559" w:rsidRPr="00335CFF">
        <w:rPr>
          <w:rFonts w:ascii="Verdana" w:hAnsi="Verdana"/>
          <w:highlight w:val="yellow"/>
        </w:rPr>
        <w:t>,</w:t>
      </w:r>
      <w:r w:rsidRPr="00335CFF">
        <w:rPr>
          <w:rFonts w:ascii="Verdana" w:hAnsi="Verdana"/>
          <w:highlight w:val="yellow"/>
        </w:rPr>
        <w:t xml:space="preserve"> soprattutto</w:t>
      </w:r>
      <w:r w:rsidR="00EE4559" w:rsidRPr="00335CFF">
        <w:rPr>
          <w:rFonts w:ascii="Verdana" w:hAnsi="Verdana"/>
          <w:highlight w:val="yellow"/>
        </w:rPr>
        <w:t>,</w:t>
      </w:r>
      <w:r w:rsidRPr="00335CFF">
        <w:rPr>
          <w:rFonts w:ascii="Verdana" w:hAnsi="Verdana"/>
          <w:highlight w:val="yellow"/>
        </w:rPr>
        <w:t xml:space="preserve"> per i premi ad ogni squadra finalista</w:t>
      </w:r>
      <w:r w:rsidR="000D5AF1" w:rsidRPr="00335CFF">
        <w:rPr>
          <w:rFonts w:ascii="Verdana" w:hAnsi="Verdana"/>
          <w:highlight w:val="yellow"/>
        </w:rPr>
        <w:t>.</w:t>
      </w:r>
    </w:p>
    <w:p w:rsidR="000D5AF1" w:rsidRPr="00D74E64" w:rsidRDefault="000D5AF1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  <w:r w:rsidRPr="00D74E64">
        <w:rPr>
          <w:rFonts w:ascii="Verdana" w:hAnsi="Verdana"/>
        </w:rPr>
        <w:t>La “logistica” delle fasi di qualificazione dovrà essere di buon livello, con palestre adeguate al Trofeo.</w:t>
      </w:r>
    </w:p>
    <w:p w:rsidR="000D5AF1" w:rsidRPr="00D74E64" w:rsidRDefault="000D5AF1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  <w:r w:rsidRPr="00717FBA">
        <w:rPr>
          <w:rFonts w:ascii="Verdana" w:hAnsi="Verdana"/>
          <w:b/>
        </w:rPr>
        <w:t>I Giudici di Gara</w:t>
      </w:r>
      <w:r w:rsidRPr="00D74E64">
        <w:rPr>
          <w:rFonts w:ascii="Verdana" w:hAnsi="Verdana"/>
        </w:rPr>
        <w:t xml:space="preserve"> per i gironi di qualificazione territoriali saranno possibilmente di profilo nazionale, là dove esist</w:t>
      </w:r>
      <w:r w:rsidR="00EE4559">
        <w:rPr>
          <w:rFonts w:ascii="Verdana" w:hAnsi="Verdana"/>
        </w:rPr>
        <w:t>a</w:t>
      </w:r>
      <w:r w:rsidRPr="00D74E64">
        <w:rPr>
          <w:rFonts w:ascii="Verdana" w:hAnsi="Verdana"/>
        </w:rPr>
        <w:t>no, "ALTRIMENTI" verranno utilizzati i GDG Territoriali.</w:t>
      </w:r>
    </w:p>
    <w:p w:rsidR="00492496" w:rsidRPr="00D74E64" w:rsidRDefault="00492496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  <w:r w:rsidRPr="00717FBA">
        <w:rPr>
          <w:rFonts w:ascii="Verdana" w:hAnsi="Verdana"/>
          <w:b/>
        </w:rPr>
        <w:t>RIMBORSI arbitrali</w:t>
      </w:r>
      <w:r w:rsidRPr="00D74E64">
        <w:rPr>
          <w:rFonts w:ascii="Verdana" w:hAnsi="Verdana"/>
        </w:rPr>
        <w:t xml:space="preserve">: Al termine del proprio girone di qualificazione, il </w:t>
      </w:r>
      <w:r w:rsidR="00504E4D" w:rsidRPr="00D74E64">
        <w:rPr>
          <w:rFonts w:ascii="Verdana" w:hAnsi="Verdana"/>
        </w:rPr>
        <w:t>settore di attività</w:t>
      </w:r>
      <w:r w:rsidR="00A13D83" w:rsidRPr="00D74E64">
        <w:rPr>
          <w:rFonts w:ascii="Verdana" w:hAnsi="Verdana"/>
        </w:rPr>
        <w:t xml:space="preserve"> territoriale organizzatore</w:t>
      </w:r>
      <w:r w:rsidRPr="00D74E64">
        <w:rPr>
          <w:rFonts w:ascii="Verdana" w:hAnsi="Verdana"/>
        </w:rPr>
        <w:t>,</w:t>
      </w:r>
      <w:r w:rsidR="00305EC5" w:rsidRPr="00D74E64">
        <w:rPr>
          <w:rFonts w:ascii="Verdana" w:hAnsi="Verdana"/>
        </w:rPr>
        <w:t xml:space="preserve"> </w:t>
      </w:r>
      <w:r w:rsidRPr="00D74E64">
        <w:rPr>
          <w:rFonts w:ascii="Verdana" w:hAnsi="Verdana"/>
        </w:rPr>
        <w:t>tramite i propri responsabili provveder</w:t>
      </w:r>
      <w:r w:rsidR="00A13D83" w:rsidRPr="00D74E64">
        <w:rPr>
          <w:rFonts w:ascii="Verdana" w:hAnsi="Verdana"/>
        </w:rPr>
        <w:t>à</w:t>
      </w:r>
      <w:r w:rsidRPr="00D74E64">
        <w:rPr>
          <w:rFonts w:ascii="Verdana" w:hAnsi="Verdana"/>
        </w:rPr>
        <w:t xml:space="preserve"> a far riempire in ogni sua</w:t>
      </w:r>
      <w:r w:rsidR="00492496" w:rsidRPr="00D74E64">
        <w:rPr>
          <w:rFonts w:ascii="Verdana" w:hAnsi="Verdana"/>
        </w:rPr>
        <w:t xml:space="preserve"> </w:t>
      </w:r>
      <w:r w:rsidRPr="00D74E64">
        <w:rPr>
          <w:rFonts w:ascii="Verdana" w:hAnsi="Verdana"/>
        </w:rPr>
        <w:t xml:space="preserve">parte i documenti allegati ai </w:t>
      </w:r>
      <w:proofErr w:type="spellStart"/>
      <w:r w:rsidR="00EE4559">
        <w:rPr>
          <w:rFonts w:ascii="Verdana" w:hAnsi="Verdana"/>
        </w:rPr>
        <w:t>G</w:t>
      </w:r>
      <w:r w:rsidRPr="00D74E64">
        <w:rPr>
          <w:rFonts w:ascii="Verdana" w:hAnsi="Verdana"/>
        </w:rPr>
        <w:t>d</w:t>
      </w:r>
      <w:r w:rsidR="00EE4559">
        <w:rPr>
          <w:rFonts w:ascii="Verdana" w:hAnsi="Verdana"/>
        </w:rPr>
        <w:t>G</w:t>
      </w:r>
      <w:proofErr w:type="spellEnd"/>
      <w:r w:rsidRPr="00D74E64">
        <w:rPr>
          <w:rFonts w:ascii="Verdana" w:hAnsi="Verdana"/>
        </w:rPr>
        <w:t xml:space="preserve">, </w:t>
      </w:r>
      <w:r w:rsidR="00EE4559">
        <w:rPr>
          <w:rFonts w:ascii="Verdana" w:hAnsi="Verdana"/>
        </w:rPr>
        <w:t xml:space="preserve">e </w:t>
      </w:r>
      <w:r w:rsidRPr="00717FBA">
        <w:rPr>
          <w:rFonts w:ascii="Verdana" w:hAnsi="Verdana"/>
        </w:rPr>
        <w:t xml:space="preserve">successivamente </w:t>
      </w:r>
      <w:r w:rsidR="00A13D83" w:rsidRPr="00717FBA">
        <w:rPr>
          <w:rFonts w:ascii="Verdana" w:hAnsi="Verdana"/>
        </w:rPr>
        <w:t>provvederà al pagamento</w:t>
      </w:r>
      <w:r w:rsidRPr="00717FBA">
        <w:rPr>
          <w:rFonts w:ascii="Verdana" w:hAnsi="Verdana"/>
        </w:rPr>
        <w:t>.</w:t>
      </w:r>
    </w:p>
    <w:p w:rsidR="000D5AF1" w:rsidRPr="00D74E64" w:rsidRDefault="000D5AF1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  <w:r w:rsidRPr="00717FBA">
        <w:rPr>
          <w:rFonts w:ascii="Verdana" w:hAnsi="Verdana"/>
          <w:b/>
        </w:rPr>
        <w:t>ALBO d’oro</w:t>
      </w:r>
      <w:r w:rsidRPr="00D74E64">
        <w:rPr>
          <w:rFonts w:ascii="Verdana" w:hAnsi="Verdana"/>
        </w:rPr>
        <w:t>: Il Trofeo si aggiornerà anno dopo anno, con l’Albo d’Oro completo della manifestazione. Alle squadre che lo vinceranno rimarrà comunque una targa o una coppa, a ricordo del proprio successo.</w:t>
      </w:r>
    </w:p>
    <w:p w:rsidR="000D5AF1" w:rsidRPr="00D74E64" w:rsidRDefault="000D5AF1" w:rsidP="00D74E64">
      <w:pPr>
        <w:jc w:val="both"/>
        <w:rPr>
          <w:rFonts w:ascii="Verdana" w:hAnsi="Verdana"/>
        </w:rPr>
      </w:pPr>
    </w:p>
    <w:p w:rsidR="002F5C2C" w:rsidRPr="00D74E64" w:rsidRDefault="002F5C2C" w:rsidP="00D74E64">
      <w:pPr>
        <w:jc w:val="both"/>
        <w:rPr>
          <w:rFonts w:ascii="Verdana" w:hAnsi="Verdana"/>
        </w:rPr>
      </w:pPr>
      <w:r w:rsidRPr="00D74E64">
        <w:rPr>
          <w:rFonts w:ascii="Verdana" w:hAnsi="Verdana"/>
          <w:highlight w:val="yellow"/>
        </w:rPr>
        <w:t>ATLETI ammessi: ogni squadra potrà far partecipare atleti tesserati di livello serie “D” FIPAV nella misura di un uomo e una donna oppure due donne.</w:t>
      </w:r>
    </w:p>
    <w:p w:rsidR="002F5C2C" w:rsidRPr="00D74E64" w:rsidRDefault="002F5C2C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</w:p>
    <w:p w:rsidR="000D5AF1" w:rsidRPr="00D74E64" w:rsidRDefault="000D5AF1" w:rsidP="00D74E64">
      <w:pPr>
        <w:jc w:val="both"/>
        <w:rPr>
          <w:rFonts w:ascii="Verdana" w:hAnsi="Verdana"/>
        </w:rPr>
      </w:pPr>
      <w:r w:rsidRPr="00D74E64">
        <w:rPr>
          <w:rFonts w:ascii="Verdana" w:hAnsi="Verdana"/>
        </w:rPr>
        <w:t xml:space="preserve">Per qualsiasi dubbio o problema inerente </w:t>
      </w:r>
      <w:r w:rsidR="00EE4559" w:rsidRPr="00D74E64">
        <w:rPr>
          <w:rFonts w:ascii="Verdana" w:hAnsi="Verdana"/>
        </w:rPr>
        <w:t>all’organizzazione</w:t>
      </w:r>
      <w:r w:rsidRPr="00D74E64">
        <w:rPr>
          <w:rFonts w:ascii="Verdana" w:hAnsi="Verdana"/>
        </w:rPr>
        <w:t xml:space="preserve"> dei gironi, </w:t>
      </w:r>
      <w:r w:rsidR="00955832" w:rsidRPr="00D74E64">
        <w:rPr>
          <w:rFonts w:ascii="Verdana" w:hAnsi="Verdana"/>
        </w:rPr>
        <w:t xml:space="preserve">i settori di attività </w:t>
      </w:r>
      <w:r w:rsidRPr="00D74E64">
        <w:rPr>
          <w:rFonts w:ascii="Verdana" w:hAnsi="Verdana"/>
        </w:rPr>
        <w:t>territoriali possono contare la struttura Operativa, che fornirà quanto necessario.</w:t>
      </w:r>
    </w:p>
    <w:p w:rsidR="000D5AF1" w:rsidRPr="0045384C" w:rsidRDefault="000D5AF1" w:rsidP="005B7476">
      <w:pPr>
        <w:spacing w:line="360" w:lineRule="auto"/>
        <w:jc w:val="center"/>
        <w:rPr>
          <w:rStyle w:val="Enfasigrassetto"/>
          <w:rFonts w:ascii="Helvetica" w:hAnsi="Helvetica" w:cs="Helvetica"/>
          <w:bCs w:val="0"/>
          <w:i/>
          <w:iCs/>
        </w:rPr>
      </w:pPr>
    </w:p>
    <w:p w:rsidR="005B7476" w:rsidRPr="0045384C" w:rsidRDefault="00851CBA" w:rsidP="005B7476">
      <w:pPr>
        <w:spacing w:line="360" w:lineRule="auto"/>
        <w:jc w:val="center"/>
        <w:rPr>
          <w:rStyle w:val="Enfasigrassetto"/>
          <w:rFonts w:ascii="Helvetica" w:hAnsi="Helvetica" w:cs="Helvetica"/>
          <w:b w:val="0"/>
        </w:rPr>
      </w:pPr>
      <w:r>
        <w:rPr>
          <w:rStyle w:val="Enfasigrassetto"/>
          <w:rFonts w:ascii="Helvetica" w:hAnsi="Helvetica" w:cs="Helvetica"/>
          <w:bCs w:val="0"/>
          <w:i/>
          <w:iCs/>
        </w:rPr>
        <w:t>Settore</w:t>
      </w:r>
      <w:r w:rsidR="00376E88" w:rsidRPr="0045384C">
        <w:rPr>
          <w:rStyle w:val="Enfasigrassetto"/>
          <w:rFonts w:ascii="Helvetica" w:hAnsi="Helvetica" w:cs="Helvetica"/>
          <w:bCs w:val="0"/>
          <w:i/>
          <w:iCs/>
        </w:rPr>
        <w:t xml:space="preserve"> di attività </w:t>
      </w:r>
      <w:r w:rsidR="005B7476" w:rsidRPr="0045384C">
        <w:rPr>
          <w:rStyle w:val="Enfasigrassetto"/>
          <w:rFonts w:ascii="Helvetica" w:hAnsi="Helvetica" w:cs="Helvetica"/>
          <w:bCs w:val="0"/>
          <w:i/>
          <w:iCs/>
        </w:rPr>
        <w:t xml:space="preserve">Nazionale Pallavolo - </w:t>
      </w:r>
      <w:hyperlink r:id="rId8" w:history="1">
        <w:r w:rsidR="00955832" w:rsidRPr="00DE50ED">
          <w:rPr>
            <w:rStyle w:val="Collegamentoipertestuale"/>
            <w:rFonts w:ascii="Helvetica" w:hAnsi="Helvetica" w:cs="Helvetica"/>
          </w:rPr>
          <w:t>pallavolo@uisp.it</w:t>
        </w:r>
      </w:hyperlink>
    </w:p>
    <w:p w:rsidR="00851CBA" w:rsidRDefault="00851CBA" w:rsidP="000D5AF1">
      <w:pPr>
        <w:spacing w:line="360" w:lineRule="auto"/>
        <w:jc w:val="center"/>
        <w:rPr>
          <w:rStyle w:val="Enfasigrassetto"/>
          <w:rFonts w:ascii="Helvetica" w:hAnsi="Helvetica" w:cs="Helvetica"/>
          <w:bCs w:val="0"/>
          <w:i/>
          <w:iCs/>
        </w:rPr>
      </w:pPr>
      <w:r>
        <w:rPr>
          <w:rStyle w:val="Enfasigrassetto"/>
          <w:rFonts w:ascii="Helvetica" w:hAnsi="Helvetica" w:cs="Helvetica"/>
          <w:bCs w:val="0"/>
          <w:i/>
          <w:iCs/>
        </w:rPr>
        <w:t xml:space="preserve">Responsabile Nazionale </w:t>
      </w:r>
      <w:r w:rsidR="00E074B3">
        <w:rPr>
          <w:rStyle w:val="Enfasigrassetto"/>
          <w:rFonts w:ascii="Helvetica" w:hAnsi="Helvetica" w:cs="Helvetica"/>
          <w:bCs w:val="0"/>
          <w:i/>
          <w:iCs/>
        </w:rPr>
        <w:t>d</w:t>
      </w:r>
      <w:r w:rsidR="00F3748C">
        <w:rPr>
          <w:rStyle w:val="Enfasigrassetto"/>
          <w:rFonts w:ascii="Helvetica" w:hAnsi="Helvetica" w:cs="Helvetica"/>
          <w:bCs w:val="0"/>
          <w:i/>
          <w:iCs/>
        </w:rPr>
        <w:t>ella Supercoppa</w:t>
      </w:r>
    </w:p>
    <w:p w:rsidR="00FB1E4C" w:rsidRPr="0045384C" w:rsidRDefault="00492496" w:rsidP="000D5AF1">
      <w:pPr>
        <w:spacing w:line="360" w:lineRule="auto"/>
        <w:jc w:val="center"/>
        <w:rPr>
          <w:rFonts w:ascii="Helvetica" w:hAnsi="Helvetica" w:cs="Helvetica"/>
          <w:i/>
          <w:iCs/>
          <w:szCs w:val="20"/>
        </w:rPr>
      </w:pPr>
      <w:r w:rsidRPr="0045384C">
        <w:rPr>
          <w:rStyle w:val="Enfasigrassetto"/>
          <w:rFonts w:ascii="Helvetica" w:hAnsi="Helvetica" w:cs="Helvetica"/>
          <w:bCs w:val="0"/>
          <w:i/>
          <w:iCs/>
        </w:rPr>
        <w:t xml:space="preserve">Marcello </w:t>
      </w:r>
      <w:proofErr w:type="gramStart"/>
      <w:r w:rsidRPr="0045384C">
        <w:rPr>
          <w:rStyle w:val="Enfasigrassetto"/>
          <w:rFonts w:ascii="Helvetica" w:hAnsi="Helvetica" w:cs="Helvetica"/>
          <w:bCs w:val="0"/>
          <w:i/>
          <w:iCs/>
        </w:rPr>
        <w:t>Martin  -</w:t>
      </w:r>
      <w:proofErr w:type="gramEnd"/>
      <w:r w:rsidRPr="0045384C">
        <w:rPr>
          <w:rStyle w:val="Enfasigrassetto"/>
          <w:rFonts w:ascii="Helvetica" w:hAnsi="Helvetica" w:cs="Helvetica"/>
          <w:bCs w:val="0"/>
          <w:i/>
          <w:iCs/>
        </w:rPr>
        <w:t xml:space="preserve">  cellulare 347-2637301</w:t>
      </w:r>
      <w:r w:rsidR="005B7476" w:rsidRPr="0045384C">
        <w:rPr>
          <w:rStyle w:val="Enfasigrassetto"/>
          <w:rFonts w:ascii="Helvetica" w:hAnsi="Helvetica" w:cs="Helvetica"/>
          <w:bCs w:val="0"/>
          <w:i/>
          <w:iCs/>
        </w:rPr>
        <w:t xml:space="preserve"> - </w:t>
      </w:r>
      <w:r w:rsidR="00A14F48" w:rsidRPr="0045384C">
        <w:rPr>
          <w:rFonts w:ascii="Helvetica" w:hAnsi="Helvetica" w:cs="Helvetica"/>
          <w:color w:val="0000FF"/>
          <w:u w:val="single"/>
          <w:shd w:val="clear" w:color="auto" w:fill="FFFFFF"/>
        </w:rPr>
        <w:t>supercoppauisp@gmail.com</w:t>
      </w:r>
    </w:p>
    <w:sectPr w:rsidR="00FB1E4C" w:rsidRPr="0045384C" w:rsidSect="008F0E80">
      <w:headerReference w:type="default" r:id="rId9"/>
      <w:footerReference w:type="default" r:id="rId10"/>
      <w:pgSz w:w="11906" w:h="16838" w:code="9"/>
      <w:pgMar w:top="1276" w:right="964" w:bottom="540" w:left="964" w:header="709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70" w:rsidRDefault="00522F70">
      <w:r>
        <w:separator/>
      </w:r>
    </w:p>
  </w:endnote>
  <w:endnote w:type="continuationSeparator" w:id="0">
    <w:p w:rsidR="00522F70" w:rsidRDefault="005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65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1C" w:rsidRDefault="004B431C">
    <w:pPr>
      <w:pStyle w:val="Pidipagina"/>
      <w:jc w:val="right"/>
      <w:rPr>
        <w:rStyle w:val="Numeropagina"/>
      </w:rPr>
    </w:pPr>
  </w:p>
  <w:p w:rsidR="004B431C" w:rsidRDefault="004B431C">
    <w:pPr>
      <w:pStyle w:val="Pidipagina"/>
      <w:jc w:val="right"/>
    </w:pPr>
    <w:r>
      <w:rPr>
        <w:rStyle w:val="Numeropagina"/>
      </w:rPr>
      <w:t xml:space="preserve">Pag. 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E090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70" w:rsidRDefault="00522F70">
      <w:r>
        <w:separator/>
      </w:r>
    </w:p>
  </w:footnote>
  <w:footnote w:type="continuationSeparator" w:id="0">
    <w:p w:rsidR="00522F70" w:rsidRDefault="0052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1C" w:rsidRPr="006E3FA5" w:rsidRDefault="004B431C" w:rsidP="006E3FA5">
    <w:pPr>
      <w:jc w:val="center"/>
      <w:rPr>
        <w:rFonts w:ascii="RotisSemiSans65" w:hAnsi="RotisSemiSans65"/>
        <w:b/>
        <w:bCs/>
        <w:i/>
        <w:color w:val="0000FF"/>
        <w:sz w:val="16"/>
        <w:szCs w:val="16"/>
      </w:rPr>
    </w:pPr>
    <w:r>
      <w:rPr>
        <w:rFonts w:ascii="RotisSemiSans65" w:hAnsi="RotisSemiSans65"/>
        <w:b/>
        <w:bCs/>
        <w:i/>
        <w:color w:val="0000FF"/>
        <w:sz w:val="52"/>
        <w:szCs w:val="5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133"/>
    <w:multiLevelType w:val="hybridMultilevel"/>
    <w:tmpl w:val="10A61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BB3"/>
    <w:multiLevelType w:val="multilevel"/>
    <w:tmpl w:val="7A36EAE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6E7BA2"/>
    <w:multiLevelType w:val="multilevel"/>
    <w:tmpl w:val="71CAAF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A73BD"/>
    <w:multiLevelType w:val="multilevel"/>
    <w:tmpl w:val="DB6A12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9940E2"/>
    <w:multiLevelType w:val="hybridMultilevel"/>
    <w:tmpl w:val="C30078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829"/>
    <w:multiLevelType w:val="multilevel"/>
    <w:tmpl w:val="44E4394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6" w15:restartNumberingAfterBreak="0">
    <w:nsid w:val="15D40B96"/>
    <w:multiLevelType w:val="multilevel"/>
    <w:tmpl w:val="3F283D8A"/>
    <w:lvl w:ilvl="0">
      <w:start w:val="11"/>
      <w:numFmt w:val="decimal"/>
      <w:lvlText w:val="%1"/>
      <w:legacy w:legacy="1" w:legacySpace="0" w:legacyIndent="0"/>
      <w:lvlJc w:val="left"/>
      <w:rPr>
        <w:b/>
      </w:rPr>
    </w:lvl>
    <w:lvl w:ilvl="1">
      <w:start w:val="2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7" w15:restartNumberingAfterBreak="0">
    <w:nsid w:val="170E2B56"/>
    <w:multiLevelType w:val="hybridMultilevel"/>
    <w:tmpl w:val="7A9E9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70BE"/>
    <w:multiLevelType w:val="multilevel"/>
    <w:tmpl w:val="11DCA4B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8BD3CE9"/>
    <w:multiLevelType w:val="hybridMultilevel"/>
    <w:tmpl w:val="CC707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322B3"/>
    <w:multiLevelType w:val="multilevel"/>
    <w:tmpl w:val="DA9089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D723445"/>
    <w:multiLevelType w:val="multilevel"/>
    <w:tmpl w:val="0F9AFA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4F44126"/>
    <w:multiLevelType w:val="multilevel"/>
    <w:tmpl w:val="3F283D8A"/>
    <w:lvl w:ilvl="0">
      <w:start w:val="11"/>
      <w:numFmt w:val="decimal"/>
      <w:lvlText w:val="%1"/>
      <w:legacy w:legacy="1" w:legacySpace="0" w:legacyIndent="0"/>
      <w:lvlJc w:val="left"/>
      <w:rPr>
        <w:b/>
      </w:rPr>
    </w:lvl>
    <w:lvl w:ilvl="1">
      <w:start w:val="2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13" w15:restartNumberingAfterBreak="0">
    <w:nsid w:val="389B5213"/>
    <w:multiLevelType w:val="multilevel"/>
    <w:tmpl w:val="CA62AEB0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5C12D4"/>
    <w:multiLevelType w:val="multilevel"/>
    <w:tmpl w:val="E7FA16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A57077"/>
    <w:multiLevelType w:val="multilevel"/>
    <w:tmpl w:val="B0B83A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D4774BA"/>
    <w:multiLevelType w:val="hybridMultilevel"/>
    <w:tmpl w:val="949C9D72"/>
    <w:lvl w:ilvl="0" w:tplc="0CC65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C7C8D"/>
    <w:multiLevelType w:val="multilevel"/>
    <w:tmpl w:val="FEA0FC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E226539"/>
    <w:multiLevelType w:val="hybridMultilevel"/>
    <w:tmpl w:val="F47E121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F419E0"/>
    <w:multiLevelType w:val="hybridMultilevel"/>
    <w:tmpl w:val="B17A43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D0AD4"/>
    <w:multiLevelType w:val="hybridMultilevel"/>
    <w:tmpl w:val="EAD22976"/>
    <w:lvl w:ilvl="0" w:tplc="442A76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5DA05AA"/>
    <w:multiLevelType w:val="multilevel"/>
    <w:tmpl w:val="F0185DD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77641829"/>
    <w:multiLevelType w:val="multilevel"/>
    <w:tmpl w:val="10A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6F68"/>
    <w:multiLevelType w:val="multilevel"/>
    <w:tmpl w:val="8FFC39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7C3D0B96"/>
    <w:multiLevelType w:val="multilevel"/>
    <w:tmpl w:val="5C48A0B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16"/>
      </w:rPr>
    </w:lvl>
  </w:abstractNum>
  <w:abstractNum w:abstractNumId="25" w15:restartNumberingAfterBreak="0">
    <w:nsid w:val="7E7A60F8"/>
    <w:multiLevelType w:val="multilevel"/>
    <w:tmpl w:val="B3DE00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16"/>
  </w:num>
  <w:num w:numId="6">
    <w:abstractNumId w:val="7"/>
  </w:num>
  <w:num w:numId="7">
    <w:abstractNumId w:val="1"/>
  </w:num>
  <w:num w:numId="8">
    <w:abstractNumId w:val="21"/>
  </w:num>
  <w:num w:numId="9">
    <w:abstractNumId w:val="23"/>
  </w:num>
  <w:num w:numId="10">
    <w:abstractNumId w:val="13"/>
  </w:num>
  <w:num w:numId="11">
    <w:abstractNumId w:val="2"/>
  </w:num>
  <w:num w:numId="12">
    <w:abstractNumId w:val="10"/>
  </w:num>
  <w:num w:numId="13">
    <w:abstractNumId w:val="17"/>
  </w:num>
  <w:num w:numId="14">
    <w:abstractNumId w:val="5"/>
  </w:num>
  <w:num w:numId="15">
    <w:abstractNumId w:val="24"/>
  </w:num>
  <w:num w:numId="16">
    <w:abstractNumId w:val="11"/>
  </w:num>
  <w:num w:numId="17">
    <w:abstractNumId w:val="15"/>
  </w:num>
  <w:num w:numId="18">
    <w:abstractNumId w:val="14"/>
  </w:num>
  <w:num w:numId="19">
    <w:abstractNumId w:val="3"/>
  </w:num>
  <w:num w:numId="20">
    <w:abstractNumId w:val="8"/>
  </w:num>
  <w:num w:numId="21">
    <w:abstractNumId w:val="25"/>
  </w:num>
  <w:num w:numId="22">
    <w:abstractNumId w:val="18"/>
  </w:num>
  <w:num w:numId="23">
    <w:abstractNumId w:val="0"/>
  </w:num>
  <w:num w:numId="24">
    <w:abstractNumId w:val="1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49" fillcolor="lime" strokecolor="red">
      <v:fill color="lime"/>
      <v:stroke color="red" weight="1pt"/>
      <v:shadow on="t" color="#009" offset="7pt,-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EE"/>
    <w:rsid w:val="00003956"/>
    <w:rsid w:val="00017B80"/>
    <w:rsid w:val="00025428"/>
    <w:rsid w:val="000437EC"/>
    <w:rsid w:val="00073CCF"/>
    <w:rsid w:val="000A40D5"/>
    <w:rsid w:val="000C220E"/>
    <w:rsid w:val="000D5AF1"/>
    <w:rsid w:val="000D6A5A"/>
    <w:rsid w:val="000E1DBD"/>
    <w:rsid w:val="000F25B4"/>
    <w:rsid w:val="00115D5D"/>
    <w:rsid w:val="00130813"/>
    <w:rsid w:val="001549E9"/>
    <w:rsid w:val="00160805"/>
    <w:rsid w:val="00182417"/>
    <w:rsid w:val="00190389"/>
    <w:rsid w:val="00196CC4"/>
    <w:rsid w:val="001A03C7"/>
    <w:rsid w:val="001B10C7"/>
    <w:rsid w:val="001C7B6D"/>
    <w:rsid w:val="00206EC7"/>
    <w:rsid w:val="00212E25"/>
    <w:rsid w:val="002435B8"/>
    <w:rsid w:val="00255458"/>
    <w:rsid w:val="00257486"/>
    <w:rsid w:val="0026481A"/>
    <w:rsid w:val="002734A5"/>
    <w:rsid w:val="00287591"/>
    <w:rsid w:val="002B4A5B"/>
    <w:rsid w:val="002E0902"/>
    <w:rsid w:val="002F5C2C"/>
    <w:rsid w:val="00304338"/>
    <w:rsid w:val="00305036"/>
    <w:rsid w:val="00305EC5"/>
    <w:rsid w:val="003157DB"/>
    <w:rsid w:val="00335CFF"/>
    <w:rsid w:val="0035343A"/>
    <w:rsid w:val="00376E88"/>
    <w:rsid w:val="0038486F"/>
    <w:rsid w:val="003F0605"/>
    <w:rsid w:val="003F2122"/>
    <w:rsid w:val="003F632A"/>
    <w:rsid w:val="00423303"/>
    <w:rsid w:val="00436140"/>
    <w:rsid w:val="0045384C"/>
    <w:rsid w:val="00492496"/>
    <w:rsid w:val="00496EA9"/>
    <w:rsid w:val="004B431C"/>
    <w:rsid w:val="004F08C0"/>
    <w:rsid w:val="00504E4D"/>
    <w:rsid w:val="00511550"/>
    <w:rsid w:val="005127D6"/>
    <w:rsid w:val="00522F70"/>
    <w:rsid w:val="00547845"/>
    <w:rsid w:val="005835FC"/>
    <w:rsid w:val="005A3C5E"/>
    <w:rsid w:val="005A4FBC"/>
    <w:rsid w:val="005A7648"/>
    <w:rsid w:val="005B1D84"/>
    <w:rsid w:val="005B7476"/>
    <w:rsid w:val="005F7FD2"/>
    <w:rsid w:val="00620551"/>
    <w:rsid w:val="0066126B"/>
    <w:rsid w:val="00662E82"/>
    <w:rsid w:val="006938E0"/>
    <w:rsid w:val="006947EA"/>
    <w:rsid w:val="00696CBC"/>
    <w:rsid w:val="006E3FA5"/>
    <w:rsid w:val="006F4ED6"/>
    <w:rsid w:val="00707D62"/>
    <w:rsid w:val="00717FBA"/>
    <w:rsid w:val="007505B6"/>
    <w:rsid w:val="00754DFF"/>
    <w:rsid w:val="007B1C9D"/>
    <w:rsid w:val="007B1EE2"/>
    <w:rsid w:val="007D6643"/>
    <w:rsid w:val="007D6D21"/>
    <w:rsid w:val="008210D6"/>
    <w:rsid w:val="00851CBA"/>
    <w:rsid w:val="00853E35"/>
    <w:rsid w:val="00875EAC"/>
    <w:rsid w:val="00884419"/>
    <w:rsid w:val="00884D98"/>
    <w:rsid w:val="008F0E80"/>
    <w:rsid w:val="008F4D72"/>
    <w:rsid w:val="008F53FC"/>
    <w:rsid w:val="00900672"/>
    <w:rsid w:val="009079DB"/>
    <w:rsid w:val="009101A7"/>
    <w:rsid w:val="00955832"/>
    <w:rsid w:val="00955CBC"/>
    <w:rsid w:val="00965EAE"/>
    <w:rsid w:val="009742EE"/>
    <w:rsid w:val="00996396"/>
    <w:rsid w:val="00A113F4"/>
    <w:rsid w:val="00A13D83"/>
    <w:rsid w:val="00A14665"/>
    <w:rsid w:val="00A14F48"/>
    <w:rsid w:val="00A371E6"/>
    <w:rsid w:val="00A43B29"/>
    <w:rsid w:val="00A675B0"/>
    <w:rsid w:val="00AF5EAE"/>
    <w:rsid w:val="00B23432"/>
    <w:rsid w:val="00B32810"/>
    <w:rsid w:val="00B436F2"/>
    <w:rsid w:val="00B57E83"/>
    <w:rsid w:val="00B95BBD"/>
    <w:rsid w:val="00BA36E4"/>
    <w:rsid w:val="00BB183A"/>
    <w:rsid w:val="00BF380C"/>
    <w:rsid w:val="00C215F4"/>
    <w:rsid w:val="00C520EB"/>
    <w:rsid w:val="00C93286"/>
    <w:rsid w:val="00CA1966"/>
    <w:rsid w:val="00CA2F9A"/>
    <w:rsid w:val="00CB3E8A"/>
    <w:rsid w:val="00CE1E85"/>
    <w:rsid w:val="00CF0DAA"/>
    <w:rsid w:val="00D12CB8"/>
    <w:rsid w:val="00D31760"/>
    <w:rsid w:val="00D45A4C"/>
    <w:rsid w:val="00D45A56"/>
    <w:rsid w:val="00D546EC"/>
    <w:rsid w:val="00D64A35"/>
    <w:rsid w:val="00D67782"/>
    <w:rsid w:val="00D74E64"/>
    <w:rsid w:val="00D864E8"/>
    <w:rsid w:val="00D9130B"/>
    <w:rsid w:val="00DF1B71"/>
    <w:rsid w:val="00E0066B"/>
    <w:rsid w:val="00E06F9E"/>
    <w:rsid w:val="00E074B3"/>
    <w:rsid w:val="00E1571D"/>
    <w:rsid w:val="00E26B14"/>
    <w:rsid w:val="00E838EA"/>
    <w:rsid w:val="00E948C3"/>
    <w:rsid w:val="00EA3413"/>
    <w:rsid w:val="00EE4559"/>
    <w:rsid w:val="00F12602"/>
    <w:rsid w:val="00F21055"/>
    <w:rsid w:val="00F3748C"/>
    <w:rsid w:val="00F447EE"/>
    <w:rsid w:val="00F544B8"/>
    <w:rsid w:val="00F72F0D"/>
    <w:rsid w:val="00F844D8"/>
    <w:rsid w:val="00FB1E4C"/>
    <w:rsid w:val="00FB6A60"/>
    <w:rsid w:val="00FC5526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 strokecolor="red">
      <v:fill color="lime"/>
      <v:stroke color="red" weight="1pt"/>
      <v:shadow on="t" color="#009" offset="7pt,-7pt"/>
    </o:shapedefaults>
    <o:shapelayout v:ext="edit">
      <o:idmap v:ext="edit" data="1"/>
    </o:shapelayout>
  </w:shapeDefaults>
  <w:decimalSymbol w:val=","/>
  <w:listSeparator w:val=";"/>
  <w15:docId w15:val="{A2F263F9-8477-8345-A036-DDFB553A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color w:val="FF0000"/>
      <w:sz w:val="36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jc w:val="both"/>
      <w:outlineLvl w:val="3"/>
    </w:pPr>
    <w:rPr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339966"/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 w:cs="Tahoma"/>
      <w:b/>
      <w:i/>
      <w:iCs/>
      <w:color w:val="0000FF"/>
      <w:sz w:val="36"/>
      <w:u w:val="single"/>
    </w:rPr>
  </w:style>
  <w:style w:type="paragraph" w:styleId="Titolo7">
    <w:name w:val="heading 7"/>
    <w:basedOn w:val="Normale"/>
    <w:next w:val="Normale"/>
    <w:qFormat/>
    <w:pPr>
      <w:keepNext/>
      <w:shd w:val="clear" w:color="auto" w:fill="FFFFFF"/>
      <w:spacing w:line="315" w:lineRule="atLeast"/>
      <w:ind w:firstLine="708"/>
      <w:jc w:val="both"/>
      <w:outlineLvl w:val="6"/>
    </w:pPr>
    <w:rPr>
      <w:rFonts w:ascii="Verdana" w:hAnsi="Verdana"/>
      <w:i/>
      <w:iCs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color w:val="FF0000"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z w:val="28"/>
      <w:szCs w:val="20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shd w:val="clear" w:color="auto" w:fill="FFFFFF"/>
      <w:spacing w:line="315" w:lineRule="atLeast"/>
      <w:ind w:firstLine="708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color w:val="000000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rsid w:val="00A37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Helvetica">
    <w:name w:val="Normale+Helvetica"/>
    <w:basedOn w:val="Normale"/>
    <w:rsid w:val="0025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avolo@uis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LEGA PALLAVOLO UISP del Veneto</dc:creator>
  <cp:lastModifiedBy>user</cp:lastModifiedBy>
  <cp:revision>2</cp:revision>
  <cp:lastPrinted>2014-11-22T07:34:00Z</cp:lastPrinted>
  <dcterms:created xsi:type="dcterms:W3CDTF">2022-02-25T12:27:00Z</dcterms:created>
  <dcterms:modified xsi:type="dcterms:W3CDTF">2022-02-25T12:27:00Z</dcterms:modified>
</cp:coreProperties>
</file>