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7F" w:rsidRPr="00773815" w:rsidRDefault="001C307F" w:rsidP="00773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773815">
        <w:rPr>
          <w:rFonts w:ascii="Arial" w:hAnsi="Arial" w:cs="Arial"/>
          <w:b/>
          <w:color w:val="000000"/>
          <w:sz w:val="40"/>
          <w:szCs w:val="40"/>
          <w:u w:val="single"/>
        </w:rPr>
        <w:t>5</w:t>
      </w:r>
      <w:r w:rsidR="00ED4796" w:rsidRPr="00773815">
        <w:rPr>
          <w:rFonts w:ascii="Arial" w:hAnsi="Arial" w:cs="Arial"/>
          <w:b/>
          <w:color w:val="000000"/>
          <w:sz w:val="40"/>
          <w:szCs w:val="40"/>
          <w:u w:val="single"/>
        </w:rPr>
        <w:t>6</w:t>
      </w:r>
      <w:r w:rsidRPr="00773815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° TORNEO CITTA’ </w:t>
      </w:r>
      <w:proofErr w:type="spellStart"/>
      <w:r w:rsidRPr="00773815">
        <w:rPr>
          <w:rFonts w:ascii="Arial" w:hAnsi="Arial" w:cs="Arial"/>
          <w:b/>
          <w:color w:val="000000"/>
          <w:sz w:val="40"/>
          <w:szCs w:val="40"/>
          <w:u w:val="single"/>
        </w:rPr>
        <w:t>DI</w:t>
      </w:r>
      <w:proofErr w:type="spellEnd"/>
      <w:r w:rsidRPr="00773815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 PRATO</w:t>
      </w:r>
    </w:p>
    <w:p w:rsidR="0022655F" w:rsidRPr="00773815" w:rsidRDefault="0022655F" w:rsidP="00773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</w:p>
    <w:p w:rsidR="001C307F" w:rsidRPr="00773815" w:rsidRDefault="001C307F" w:rsidP="00773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773815">
        <w:rPr>
          <w:rFonts w:ascii="Arial" w:hAnsi="Arial" w:cs="Arial"/>
          <w:b/>
          <w:color w:val="000000"/>
          <w:sz w:val="40"/>
          <w:szCs w:val="40"/>
          <w:u w:val="single"/>
        </w:rPr>
        <w:t>MEMORIAL CARMINE ARENA</w:t>
      </w:r>
    </w:p>
    <w:p w:rsidR="0022655F" w:rsidRPr="00773815" w:rsidRDefault="0022655F" w:rsidP="00773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</w:p>
    <w:p w:rsidR="001C307F" w:rsidRPr="00773815" w:rsidRDefault="001C307F" w:rsidP="00773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773815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NORME </w:t>
      </w:r>
      <w:proofErr w:type="spellStart"/>
      <w:r w:rsidRPr="00773815">
        <w:rPr>
          <w:rFonts w:ascii="Arial" w:hAnsi="Arial" w:cs="Arial"/>
          <w:b/>
          <w:color w:val="000000"/>
          <w:sz w:val="40"/>
          <w:szCs w:val="40"/>
          <w:u w:val="single"/>
        </w:rPr>
        <w:t>DI</w:t>
      </w:r>
      <w:proofErr w:type="spellEnd"/>
      <w:r w:rsidRPr="00773815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 PARTECIPAZIONE</w:t>
      </w:r>
    </w:p>
    <w:p w:rsidR="0022655F" w:rsidRPr="00773815" w:rsidRDefault="0022655F" w:rsidP="00777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:rsidR="0022655F" w:rsidRPr="00773815" w:rsidRDefault="0022655F" w:rsidP="00777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:rsidR="001C307F" w:rsidRPr="00773815" w:rsidRDefault="00ED4796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>Il 56</w:t>
      </w:r>
      <w:r w:rsidR="00773815">
        <w:rPr>
          <w:rFonts w:ascii="Arial" w:hAnsi="Arial" w:cs="Arial"/>
          <w:color w:val="000000"/>
          <w:sz w:val="40"/>
          <w:szCs w:val="40"/>
        </w:rPr>
        <w:t>^ Torneo Notturno Città di Prato</w:t>
      </w:r>
      <w:r w:rsidR="001C307F" w:rsidRPr="00773815">
        <w:rPr>
          <w:rFonts w:ascii="Arial" w:hAnsi="Arial" w:cs="Arial"/>
          <w:color w:val="000000"/>
          <w:sz w:val="40"/>
          <w:szCs w:val="40"/>
        </w:rPr>
        <w:t xml:space="preserve"> calcio a 11, organizzato dalla </w:t>
      </w:r>
      <w:r w:rsidR="002665AE">
        <w:rPr>
          <w:rFonts w:ascii="Arial" w:hAnsi="Arial" w:cs="Arial"/>
          <w:color w:val="000000"/>
          <w:sz w:val="40"/>
          <w:szCs w:val="40"/>
        </w:rPr>
        <w:t>Sd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A </w:t>
      </w:r>
      <w:proofErr w:type="spellStart"/>
      <w:r w:rsidRPr="00773815">
        <w:rPr>
          <w:rFonts w:ascii="Arial" w:hAnsi="Arial" w:cs="Arial"/>
          <w:color w:val="000000"/>
          <w:sz w:val="40"/>
          <w:szCs w:val="40"/>
        </w:rPr>
        <w:t>Uisp</w:t>
      </w:r>
      <w:proofErr w:type="spellEnd"/>
      <w:r w:rsidRPr="00773815">
        <w:rPr>
          <w:rFonts w:ascii="Arial" w:hAnsi="Arial" w:cs="Arial"/>
          <w:color w:val="000000"/>
          <w:sz w:val="40"/>
          <w:szCs w:val="40"/>
        </w:rPr>
        <w:t xml:space="preserve"> di Prato</w:t>
      </w:r>
      <w:r w:rsidR="001C307F" w:rsidRPr="00773815">
        <w:rPr>
          <w:rFonts w:ascii="Arial" w:hAnsi="Arial" w:cs="Arial"/>
          <w:color w:val="000000"/>
          <w:sz w:val="40"/>
          <w:szCs w:val="40"/>
        </w:rPr>
        <w:t xml:space="preserve">, è classificato attività </w:t>
      </w:r>
      <w:r w:rsidRPr="00773815">
        <w:rPr>
          <w:rFonts w:ascii="Arial" w:hAnsi="Arial" w:cs="Arial"/>
          <w:color w:val="000000"/>
          <w:sz w:val="40"/>
          <w:szCs w:val="40"/>
        </w:rPr>
        <w:t>agonistica</w:t>
      </w:r>
      <w:r w:rsidR="001C307F" w:rsidRPr="00773815">
        <w:rPr>
          <w:rFonts w:ascii="Arial" w:hAnsi="Arial" w:cs="Arial"/>
          <w:color w:val="000000"/>
          <w:sz w:val="40"/>
          <w:szCs w:val="40"/>
        </w:rPr>
        <w:t>. Il rispetto della norma per quanto riguarda la tutela sanitaria dei certificati medici di tipo agonistico dei tesserati è a cura del legale rappresentante della singola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</w:t>
      </w:r>
      <w:r w:rsidR="001C307F" w:rsidRPr="00773815">
        <w:rPr>
          <w:rFonts w:ascii="Arial" w:hAnsi="Arial" w:cs="Arial"/>
          <w:color w:val="000000"/>
          <w:sz w:val="40"/>
          <w:szCs w:val="40"/>
        </w:rPr>
        <w:t xml:space="preserve">Associazione (Presidente), il quale con l'iscrizione al torneo attesta di esserne a conoscenza e conseguentemente di essere in regola con quanto scritto </w:t>
      </w:r>
      <w:r w:rsidR="002665AE">
        <w:rPr>
          <w:rFonts w:ascii="Arial" w:hAnsi="Arial" w:cs="Arial"/>
          <w:color w:val="000000"/>
          <w:sz w:val="40"/>
          <w:szCs w:val="40"/>
        </w:rPr>
        <w:t>nell’</w:t>
      </w:r>
      <w:r w:rsidR="001C307F" w:rsidRPr="00773815">
        <w:rPr>
          <w:rFonts w:ascii="Arial" w:hAnsi="Arial" w:cs="Arial"/>
          <w:color w:val="000000"/>
          <w:sz w:val="40"/>
          <w:szCs w:val="40"/>
        </w:rPr>
        <w:t>Art. 23 R.A.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(tutela sanitaria)</w:t>
      </w:r>
    </w:p>
    <w:p w:rsidR="00ED4796" w:rsidRPr="00773815" w:rsidRDefault="00ED4796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 xml:space="preserve">Il </w:t>
      </w:r>
      <w:r w:rsidR="00773815">
        <w:rPr>
          <w:rFonts w:ascii="Arial" w:hAnsi="Arial" w:cs="Arial"/>
          <w:color w:val="000000"/>
          <w:sz w:val="40"/>
          <w:szCs w:val="40"/>
        </w:rPr>
        <w:t>Torneo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è aperto a tutte le squadre regolarmente tesserate UISP per l’anno in corso</w:t>
      </w:r>
    </w:p>
    <w:p w:rsidR="007778DF" w:rsidRPr="00773815" w:rsidRDefault="001C307F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 xml:space="preserve">Le squadre,  potranno </w:t>
      </w:r>
      <w:r w:rsidR="00ED4796" w:rsidRPr="00773815">
        <w:rPr>
          <w:rFonts w:ascii="Arial" w:hAnsi="Arial" w:cs="Arial"/>
          <w:color w:val="000000"/>
          <w:sz w:val="40"/>
          <w:szCs w:val="40"/>
        </w:rPr>
        <w:t>tesserare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</w:t>
      </w:r>
      <w:r w:rsidRPr="00773815">
        <w:rPr>
          <w:rFonts w:ascii="Arial" w:hAnsi="Arial" w:cs="Arial"/>
          <w:color w:val="000000"/>
          <w:sz w:val="40"/>
          <w:szCs w:val="40"/>
          <w:u w:val="single"/>
        </w:rPr>
        <w:t>massimo 3 prestiti FIGC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, </w:t>
      </w:r>
      <w:r w:rsidR="00ED4796" w:rsidRPr="00773815">
        <w:rPr>
          <w:rFonts w:ascii="Arial" w:hAnsi="Arial" w:cs="Arial"/>
          <w:color w:val="000000"/>
          <w:sz w:val="40"/>
          <w:szCs w:val="40"/>
        </w:rPr>
        <w:t xml:space="preserve">provenienti dalla </w:t>
      </w:r>
      <w:r w:rsidRPr="00773815">
        <w:rPr>
          <w:rFonts w:ascii="Arial" w:hAnsi="Arial" w:cs="Arial"/>
          <w:color w:val="000000"/>
          <w:sz w:val="40"/>
          <w:szCs w:val="40"/>
        </w:rPr>
        <w:t>prima</w:t>
      </w:r>
      <w:r w:rsidR="00ED4796" w:rsidRPr="00773815">
        <w:rPr>
          <w:rFonts w:ascii="Arial" w:hAnsi="Arial" w:cs="Arial"/>
          <w:color w:val="000000"/>
          <w:sz w:val="40"/>
          <w:szCs w:val="40"/>
        </w:rPr>
        <w:t>, seconda</w:t>
      </w:r>
      <w:r w:rsidR="002665AE">
        <w:rPr>
          <w:rFonts w:ascii="Arial" w:hAnsi="Arial" w:cs="Arial"/>
          <w:color w:val="000000"/>
          <w:sz w:val="40"/>
          <w:szCs w:val="40"/>
        </w:rPr>
        <w:t xml:space="preserve"> e </w:t>
      </w:r>
      <w:r w:rsidR="00ED4796" w:rsidRPr="00773815">
        <w:rPr>
          <w:rFonts w:ascii="Arial" w:hAnsi="Arial" w:cs="Arial"/>
          <w:color w:val="000000"/>
          <w:sz w:val="40"/>
          <w:szCs w:val="40"/>
        </w:rPr>
        <w:t>terza categoria. I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</w:t>
      </w:r>
      <w:r w:rsidR="00ED4796" w:rsidRPr="00773815">
        <w:rPr>
          <w:rFonts w:ascii="Arial" w:hAnsi="Arial" w:cs="Arial"/>
          <w:color w:val="000000"/>
          <w:sz w:val="40"/>
          <w:szCs w:val="40"/>
        </w:rPr>
        <w:t>prestiti FIGC devono presentare idonea documentazione che ne attesti la provenienza (autocertificazione) e relativo Tesseramento UISP. I</w:t>
      </w:r>
      <w:r w:rsidR="007778DF" w:rsidRPr="00773815">
        <w:rPr>
          <w:rFonts w:ascii="Arial" w:hAnsi="Arial" w:cs="Arial"/>
          <w:color w:val="000000"/>
          <w:sz w:val="40"/>
          <w:szCs w:val="40"/>
        </w:rPr>
        <w:t xml:space="preserve"> </w:t>
      </w:r>
      <w:r w:rsidRPr="00773815">
        <w:rPr>
          <w:rFonts w:ascii="Arial" w:hAnsi="Arial" w:cs="Arial"/>
          <w:color w:val="000000"/>
          <w:sz w:val="40"/>
          <w:szCs w:val="40"/>
        </w:rPr>
        <w:t>prestiti UISP</w:t>
      </w:r>
      <w:r w:rsidR="00ED4796" w:rsidRPr="00773815">
        <w:rPr>
          <w:rFonts w:ascii="Arial" w:hAnsi="Arial" w:cs="Arial"/>
          <w:color w:val="000000"/>
          <w:sz w:val="40"/>
          <w:szCs w:val="40"/>
        </w:rPr>
        <w:t>,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</w:t>
      </w:r>
      <w:r w:rsidR="00ED4796" w:rsidRPr="00773815">
        <w:rPr>
          <w:rFonts w:ascii="Arial" w:hAnsi="Arial" w:cs="Arial"/>
          <w:color w:val="000000"/>
          <w:sz w:val="40"/>
          <w:szCs w:val="40"/>
        </w:rPr>
        <w:t xml:space="preserve">di numero illimitato, </w:t>
      </w:r>
      <w:r w:rsidRPr="00773815">
        <w:rPr>
          <w:rFonts w:ascii="Arial" w:hAnsi="Arial" w:cs="Arial"/>
          <w:color w:val="000000"/>
          <w:sz w:val="40"/>
          <w:szCs w:val="40"/>
        </w:rPr>
        <w:t>devono essere in possesso della scheda d'attività e del nulla osta firmato dal Presidente dell'Associazione d'appartenenza.</w:t>
      </w:r>
      <w:r w:rsidR="007778DF" w:rsidRPr="00773815">
        <w:rPr>
          <w:rFonts w:ascii="Arial" w:hAnsi="Arial" w:cs="Arial"/>
          <w:color w:val="000000"/>
          <w:sz w:val="40"/>
          <w:szCs w:val="40"/>
        </w:rPr>
        <w:t xml:space="preserve"> 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Il tempo massimo per la </w:t>
      </w:r>
      <w:r w:rsidRPr="00773815">
        <w:rPr>
          <w:rFonts w:ascii="Arial" w:hAnsi="Arial" w:cs="Arial"/>
          <w:color w:val="000000"/>
          <w:sz w:val="40"/>
          <w:szCs w:val="40"/>
        </w:rPr>
        <w:lastRenderedPageBreak/>
        <w:t xml:space="preserve">regolarizzazione dei prestiti è stabilito entro e non oltre </w:t>
      </w:r>
      <w:r w:rsidR="002665AE">
        <w:rPr>
          <w:rFonts w:ascii="Arial" w:hAnsi="Arial" w:cs="Arial"/>
          <w:color w:val="000000"/>
          <w:sz w:val="40"/>
          <w:szCs w:val="40"/>
        </w:rPr>
        <w:t>la disputa del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la prima gara ufficiale del </w:t>
      </w:r>
      <w:r w:rsidR="00773815">
        <w:rPr>
          <w:rFonts w:ascii="Arial" w:hAnsi="Arial" w:cs="Arial"/>
          <w:color w:val="000000"/>
          <w:sz w:val="40"/>
          <w:szCs w:val="40"/>
        </w:rPr>
        <w:t xml:space="preserve">torneo </w:t>
      </w:r>
    </w:p>
    <w:p w:rsidR="007778DF" w:rsidRPr="00773815" w:rsidRDefault="007778DF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>Le squa</w:t>
      </w:r>
      <w:r w:rsidR="002665AE">
        <w:rPr>
          <w:rFonts w:ascii="Arial" w:hAnsi="Arial" w:cs="Arial"/>
          <w:color w:val="000000"/>
          <w:sz w:val="40"/>
          <w:szCs w:val="40"/>
        </w:rPr>
        <w:t>lifiche a giornate contratte nel Campionato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non vengono scontate nel Torneo Citt</w:t>
      </w:r>
      <w:r w:rsidR="002665AE">
        <w:rPr>
          <w:rFonts w:ascii="Arial" w:hAnsi="Arial" w:cs="Arial"/>
          <w:color w:val="000000"/>
          <w:sz w:val="40"/>
          <w:szCs w:val="40"/>
        </w:rPr>
        <w:t>à di Prato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mentre le squalifiche a tempo sono da ritenersi attive </w:t>
      </w:r>
      <w:r w:rsidR="00773815">
        <w:rPr>
          <w:rFonts w:ascii="Arial" w:hAnsi="Arial" w:cs="Arial"/>
          <w:color w:val="000000"/>
          <w:sz w:val="40"/>
          <w:szCs w:val="40"/>
        </w:rPr>
        <w:t>anche nel Torneo Città di Prato</w:t>
      </w:r>
    </w:p>
    <w:p w:rsidR="001C307F" w:rsidRPr="00773815" w:rsidRDefault="001C307F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 xml:space="preserve">La squadra prima nominata dovrà mettere a disposizione del Direttore di Gara </w:t>
      </w:r>
      <w:proofErr w:type="spellStart"/>
      <w:r w:rsidRPr="00773815">
        <w:rPr>
          <w:rFonts w:ascii="Arial" w:hAnsi="Arial" w:cs="Arial"/>
          <w:color w:val="000000"/>
          <w:sz w:val="40"/>
          <w:szCs w:val="40"/>
        </w:rPr>
        <w:t>n°</w:t>
      </w:r>
      <w:proofErr w:type="spellEnd"/>
      <w:r w:rsidRPr="00773815">
        <w:rPr>
          <w:rFonts w:ascii="Arial" w:hAnsi="Arial" w:cs="Arial"/>
          <w:color w:val="000000"/>
          <w:sz w:val="40"/>
          <w:szCs w:val="40"/>
        </w:rPr>
        <w:t xml:space="preserve"> 2 palloni e l'altra squadra </w:t>
      </w:r>
      <w:proofErr w:type="spellStart"/>
      <w:r w:rsidRPr="00773815">
        <w:rPr>
          <w:rFonts w:ascii="Arial" w:hAnsi="Arial" w:cs="Arial"/>
          <w:color w:val="000000"/>
          <w:sz w:val="40"/>
          <w:szCs w:val="40"/>
        </w:rPr>
        <w:t>n°</w:t>
      </w:r>
      <w:proofErr w:type="spellEnd"/>
      <w:r w:rsidRPr="00773815">
        <w:rPr>
          <w:rFonts w:ascii="Arial" w:hAnsi="Arial" w:cs="Arial"/>
          <w:color w:val="000000"/>
          <w:sz w:val="40"/>
          <w:szCs w:val="40"/>
        </w:rPr>
        <w:t xml:space="preserve"> 1 pallone. La squadra prima nominata dovrà mettere al cancello d'ingresso al campo un Dirigente il quale dovrà aver cura che sul terreno di gioco accedano esclusivamente le pers</w:t>
      </w:r>
      <w:r w:rsidR="002665AE">
        <w:rPr>
          <w:rFonts w:ascii="Arial" w:hAnsi="Arial" w:cs="Arial"/>
          <w:color w:val="000000"/>
          <w:sz w:val="40"/>
          <w:szCs w:val="40"/>
        </w:rPr>
        <w:t>one indicate sulle note di gara</w:t>
      </w:r>
    </w:p>
    <w:p w:rsidR="001C307F" w:rsidRPr="00773815" w:rsidRDefault="001C307F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 xml:space="preserve">Eventuali preannunci di reclamo e relativi reclami devono essere presentati in </w:t>
      </w:r>
      <w:proofErr w:type="spellStart"/>
      <w:r w:rsidR="007778DF" w:rsidRPr="00773815">
        <w:rPr>
          <w:rFonts w:ascii="Arial" w:hAnsi="Arial" w:cs="Arial"/>
          <w:color w:val="000000"/>
          <w:sz w:val="40"/>
          <w:szCs w:val="40"/>
        </w:rPr>
        <w:t>S</w:t>
      </w:r>
      <w:r w:rsidR="002665AE">
        <w:rPr>
          <w:rFonts w:ascii="Arial" w:hAnsi="Arial" w:cs="Arial"/>
          <w:color w:val="000000"/>
          <w:sz w:val="40"/>
          <w:szCs w:val="40"/>
        </w:rPr>
        <w:t>d</w:t>
      </w:r>
      <w:r w:rsidR="007778DF" w:rsidRPr="00773815">
        <w:rPr>
          <w:rFonts w:ascii="Arial" w:hAnsi="Arial" w:cs="Arial"/>
          <w:color w:val="000000"/>
          <w:sz w:val="40"/>
          <w:szCs w:val="40"/>
        </w:rPr>
        <w:t>A</w:t>
      </w:r>
      <w:proofErr w:type="spellEnd"/>
      <w:r w:rsidR="007778DF" w:rsidRPr="00773815">
        <w:rPr>
          <w:rFonts w:ascii="Arial" w:hAnsi="Arial" w:cs="Arial"/>
          <w:color w:val="000000"/>
          <w:sz w:val="40"/>
          <w:szCs w:val="40"/>
        </w:rPr>
        <w:t xml:space="preserve"> Calcio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con le modali</w:t>
      </w:r>
      <w:r w:rsidR="007778DF" w:rsidRPr="00773815">
        <w:rPr>
          <w:rFonts w:ascii="Arial" w:hAnsi="Arial" w:cs="Arial"/>
          <w:color w:val="000000"/>
          <w:sz w:val="40"/>
          <w:szCs w:val="40"/>
        </w:rPr>
        <w:t xml:space="preserve">tà di cui agli articoli </w:t>
      </w:r>
      <w:proofErr w:type="spellStart"/>
      <w:r w:rsidR="007778DF" w:rsidRPr="00773815">
        <w:rPr>
          <w:rFonts w:ascii="Arial" w:hAnsi="Arial" w:cs="Arial"/>
          <w:color w:val="000000"/>
          <w:sz w:val="40"/>
          <w:szCs w:val="40"/>
        </w:rPr>
        <w:t>n°</w:t>
      </w:r>
      <w:proofErr w:type="spellEnd"/>
      <w:r w:rsidR="007778DF" w:rsidRPr="00773815">
        <w:rPr>
          <w:rFonts w:ascii="Arial" w:hAnsi="Arial" w:cs="Arial"/>
          <w:color w:val="000000"/>
          <w:sz w:val="40"/>
          <w:szCs w:val="40"/>
        </w:rPr>
        <w:t xml:space="preserve"> 71,</w:t>
      </w:r>
      <w:r w:rsidRPr="00773815">
        <w:rPr>
          <w:rFonts w:ascii="Arial" w:hAnsi="Arial" w:cs="Arial"/>
          <w:color w:val="000000"/>
          <w:sz w:val="40"/>
          <w:szCs w:val="40"/>
        </w:rPr>
        <w:t>72</w:t>
      </w:r>
      <w:r w:rsidR="007778DF" w:rsidRPr="00773815">
        <w:rPr>
          <w:rFonts w:ascii="Arial" w:hAnsi="Arial" w:cs="Arial"/>
          <w:color w:val="000000"/>
          <w:sz w:val="40"/>
          <w:szCs w:val="40"/>
        </w:rPr>
        <w:t xml:space="preserve"> e 73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R.D.</w:t>
      </w:r>
    </w:p>
    <w:p w:rsidR="001C307F" w:rsidRPr="00773815" w:rsidRDefault="001C307F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>I tempi di gara sono di 40 minuti.</w:t>
      </w:r>
    </w:p>
    <w:p w:rsidR="001C307F" w:rsidRPr="00773815" w:rsidRDefault="001C307F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 xml:space="preserve">Il Torneo ha un costo di </w:t>
      </w:r>
      <w:r w:rsidR="002665AE">
        <w:rPr>
          <w:rFonts w:ascii="Arial" w:hAnsi="Arial" w:cs="Arial"/>
          <w:color w:val="000000"/>
          <w:sz w:val="40"/>
          <w:szCs w:val="40"/>
        </w:rPr>
        <w:t>€ 100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a</w:t>
      </w:r>
      <w:r w:rsidR="007778DF" w:rsidRPr="00773815">
        <w:rPr>
          <w:rFonts w:ascii="Arial" w:hAnsi="Arial" w:cs="Arial"/>
          <w:color w:val="000000"/>
          <w:sz w:val="40"/>
          <w:szCs w:val="40"/>
        </w:rPr>
        <w:t xml:space="preserve"> gara.</w:t>
      </w:r>
    </w:p>
    <w:p w:rsidR="001C307F" w:rsidRPr="00773815" w:rsidRDefault="001C307F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>La data inizio Torneo e</w:t>
      </w:r>
      <w:r w:rsidR="00AF0AB7" w:rsidRPr="00773815">
        <w:rPr>
          <w:rFonts w:ascii="Arial" w:hAnsi="Arial" w:cs="Arial"/>
          <w:color w:val="000000"/>
          <w:sz w:val="40"/>
          <w:szCs w:val="40"/>
        </w:rPr>
        <w:t xml:space="preserve">' prevista per </w:t>
      </w:r>
      <w:r w:rsidR="007778DF" w:rsidRPr="00773815">
        <w:rPr>
          <w:rFonts w:ascii="Arial" w:hAnsi="Arial" w:cs="Arial"/>
          <w:color w:val="000000"/>
          <w:sz w:val="40"/>
          <w:szCs w:val="40"/>
        </w:rPr>
        <w:t>fine maggio</w:t>
      </w:r>
    </w:p>
    <w:p w:rsidR="007778DF" w:rsidRPr="00773815" w:rsidRDefault="007778DF" w:rsidP="00777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>Le gare si disputeranno al campo S. Lucia Galilei</w:t>
      </w:r>
      <w:r w:rsidR="00773815" w:rsidRPr="00773815">
        <w:rPr>
          <w:rFonts w:ascii="Arial" w:hAnsi="Arial" w:cs="Arial"/>
          <w:color w:val="000000"/>
          <w:sz w:val="40"/>
          <w:szCs w:val="40"/>
        </w:rPr>
        <w:t xml:space="preserve">. Nel caso l’organizzazione ritenesse necessario, per motivi di tempistica, possono essere disputate due partite a sera ed eventualmente </w:t>
      </w:r>
      <w:r w:rsidR="002665AE">
        <w:rPr>
          <w:rFonts w:ascii="Arial" w:hAnsi="Arial" w:cs="Arial"/>
          <w:color w:val="000000"/>
          <w:sz w:val="40"/>
          <w:szCs w:val="40"/>
        </w:rPr>
        <w:t xml:space="preserve">anche in altro </w:t>
      </w:r>
      <w:r w:rsidR="00773815" w:rsidRPr="00773815">
        <w:rPr>
          <w:rFonts w:ascii="Arial" w:hAnsi="Arial" w:cs="Arial"/>
          <w:color w:val="000000"/>
          <w:sz w:val="40"/>
          <w:szCs w:val="40"/>
        </w:rPr>
        <w:t>campo di gara.</w:t>
      </w:r>
    </w:p>
    <w:p w:rsidR="00773815" w:rsidRPr="00773815" w:rsidRDefault="00773815" w:rsidP="00773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:rsidR="001C307F" w:rsidRPr="00773815" w:rsidRDefault="001C307F" w:rsidP="00777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>Per quanto non previsto nelle presenti norme di partecipazione, vale a tutti gli effetti la Normativa Generale della</w:t>
      </w:r>
      <w:r w:rsidR="00773815" w:rsidRPr="00773815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="002665AE">
        <w:rPr>
          <w:rFonts w:ascii="Arial" w:hAnsi="Arial" w:cs="Arial"/>
          <w:color w:val="000000"/>
          <w:sz w:val="40"/>
          <w:szCs w:val="40"/>
        </w:rPr>
        <w:t>SdA</w:t>
      </w:r>
      <w:proofErr w:type="spellEnd"/>
      <w:r w:rsidR="002665AE">
        <w:rPr>
          <w:rFonts w:ascii="Arial" w:hAnsi="Arial" w:cs="Arial"/>
          <w:color w:val="000000"/>
          <w:sz w:val="40"/>
          <w:szCs w:val="40"/>
        </w:rPr>
        <w:t xml:space="preserve"> Calcio</w:t>
      </w:r>
      <w:r w:rsidR="00773815" w:rsidRPr="00773815">
        <w:rPr>
          <w:rFonts w:ascii="Arial" w:hAnsi="Arial" w:cs="Arial"/>
          <w:color w:val="000000"/>
          <w:sz w:val="40"/>
          <w:szCs w:val="40"/>
        </w:rPr>
        <w:t xml:space="preserve"> edizione 2014</w:t>
      </w:r>
    </w:p>
    <w:p w:rsidR="00D049D4" w:rsidRPr="00773815" w:rsidRDefault="00D049D4" w:rsidP="00777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:rsidR="00AF0AB7" w:rsidRPr="00773815" w:rsidRDefault="00773815" w:rsidP="00777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773815">
        <w:rPr>
          <w:rFonts w:ascii="Arial" w:hAnsi="Arial" w:cs="Arial"/>
          <w:color w:val="000000"/>
          <w:sz w:val="40"/>
          <w:szCs w:val="40"/>
        </w:rPr>
        <w:t>Lo svolgimento</w:t>
      </w:r>
      <w:r w:rsidR="002665AE">
        <w:rPr>
          <w:rFonts w:ascii="Arial" w:hAnsi="Arial" w:cs="Arial"/>
          <w:color w:val="000000"/>
          <w:sz w:val="40"/>
          <w:szCs w:val="40"/>
        </w:rPr>
        <w:t xml:space="preserve"> del Torneo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verrà pubblicato al momento della chiusura delle iscrizioni. Indicativamente verranno predisposti gironi di qualificazione con</w:t>
      </w:r>
      <w:r w:rsidR="002665AE">
        <w:rPr>
          <w:rFonts w:ascii="Arial" w:hAnsi="Arial" w:cs="Arial"/>
          <w:color w:val="000000"/>
          <w:sz w:val="40"/>
          <w:szCs w:val="40"/>
        </w:rPr>
        <w:t xml:space="preserve"> un</w:t>
      </w:r>
      <w:r w:rsidRPr="00773815">
        <w:rPr>
          <w:rFonts w:ascii="Arial" w:hAnsi="Arial" w:cs="Arial"/>
          <w:color w:val="000000"/>
          <w:sz w:val="40"/>
          <w:szCs w:val="40"/>
        </w:rPr>
        <w:t xml:space="preserve"> massimo</w:t>
      </w:r>
      <w:r w:rsidR="002665AE">
        <w:rPr>
          <w:rFonts w:ascii="Arial" w:hAnsi="Arial" w:cs="Arial"/>
          <w:color w:val="000000"/>
          <w:sz w:val="40"/>
          <w:szCs w:val="40"/>
        </w:rPr>
        <w:t xml:space="preserve"> di 4 squadre con partita unica.</w:t>
      </w:r>
    </w:p>
    <w:p w:rsidR="00773815" w:rsidRPr="00773815" w:rsidRDefault="00773815" w:rsidP="00777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:rsidR="00773815" w:rsidRPr="00773815" w:rsidRDefault="002665AE" w:rsidP="00777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I costi delle semifinali e finali saranno a carico della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SdA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C</w:t>
      </w:r>
      <w:r w:rsidR="00773815" w:rsidRPr="00773815">
        <w:rPr>
          <w:rFonts w:ascii="Arial" w:hAnsi="Arial" w:cs="Arial"/>
          <w:color w:val="000000"/>
          <w:sz w:val="40"/>
          <w:szCs w:val="40"/>
        </w:rPr>
        <w:t>alcio, durante le quali verrà predisposto il servizio di biglietteria a € 3</w:t>
      </w:r>
    </w:p>
    <w:p w:rsidR="005F15B5" w:rsidRPr="00773815" w:rsidRDefault="005F15B5" w:rsidP="007778DF">
      <w:pPr>
        <w:tabs>
          <w:tab w:val="left" w:pos="75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40"/>
          <w:szCs w:val="40"/>
        </w:rPr>
      </w:pPr>
    </w:p>
    <w:p w:rsidR="000572D0" w:rsidRPr="00773815" w:rsidRDefault="000572D0" w:rsidP="007778DF">
      <w:pPr>
        <w:tabs>
          <w:tab w:val="left" w:pos="75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40"/>
          <w:szCs w:val="40"/>
        </w:rPr>
      </w:pPr>
      <w:r w:rsidRPr="00773815">
        <w:rPr>
          <w:rFonts w:ascii="Arial" w:hAnsi="Arial" w:cs="Arial"/>
          <w:i/>
          <w:color w:val="000000"/>
          <w:sz w:val="40"/>
          <w:szCs w:val="40"/>
        </w:rPr>
        <w:t xml:space="preserve">   </w:t>
      </w:r>
    </w:p>
    <w:p w:rsidR="000572D0" w:rsidRPr="00773815" w:rsidRDefault="000572D0" w:rsidP="007778DF">
      <w:pPr>
        <w:tabs>
          <w:tab w:val="left" w:pos="75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40"/>
          <w:szCs w:val="40"/>
        </w:rPr>
      </w:pPr>
    </w:p>
    <w:sectPr w:rsidR="000572D0" w:rsidRPr="00773815" w:rsidSect="00ED479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F44"/>
    <w:multiLevelType w:val="hybridMultilevel"/>
    <w:tmpl w:val="AB0EC45C"/>
    <w:lvl w:ilvl="0" w:tplc="1CDECF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755F1"/>
    <w:multiLevelType w:val="hybridMultilevel"/>
    <w:tmpl w:val="E452D422"/>
    <w:lvl w:ilvl="0" w:tplc="A12ECFB4">
      <w:start w:val="1"/>
      <w:numFmt w:val="decimal"/>
      <w:lvlText w:val="%1-"/>
      <w:lvlJc w:val="left"/>
      <w:pPr>
        <w:ind w:left="734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C307F"/>
    <w:rsid w:val="000572D0"/>
    <w:rsid w:val="001C307F"/>
    <w:rsid w:val="0022655F"/>
    <w:rsid w:val="002665AE"/>
    <w:rsid w:val="003C22B0"/>
    <w:rsid w:val="005F15B5"/>
    <w:rsid w:val="00773815"/>
    <w:rsid w:val="007778DF"/>
    <w:rsid w:val="009108CA"/>
    <w:rsid w:val="00935772"/>
    <w:rsid w:val="00946B4C"/>
    <w:rsid w:val="00AF0AB7"/>
    <w:rsid w:val="00D049D4"/>
    <w:rsid w:val="00D524CF"/>
    <w:rsid w:val="00ED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65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1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calcio</dc:creator>
  <cp:lastModifiedBy>Bancone2</cp:lastModifiedBy>
  <cp:revision>2</cp:revision>
  <dcterms:created xsi:type="dcterms:W3CDTF">2018-05-16T13:11:00Z</dcterms:created>
  <dcterms:modified xsi:type="dcterms:W3CDTF">2018-05-16T13:11:00Z</dcterms:modified>
</cp:coreProperties>
</file>