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67" w:rsidRDefault="00603367">
      <w:r w:rsidRPr="00603367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-394970</wp:posOffset>
            </wp:positionV>
            <wp:extent cx="1390650" cy="847725"/>
            <wp:effectExtent l="19050" t="0" r="0" b="0"/>
            <wp:wrapSquare wrapText="bothSides"/>
            <wp:docPr id="6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146" w:rsidRDefault="008E3146" w:rsidP="00C70A98">
      <w:pPr>
        <w:rPr>
          <w:b/>
          <w:sz w:val="28"/>
          <w:szCs w:val="28"/>
        </w:rPr>
      </w:pPr>
    </w:p>
    <w:p w:rsidR="00C70A98" w:rsidRDefault="00C70A98" w:rsidP="00C70A98">
      <w:pPr>
        <w:rPr>
          <w:b/>
          <w:sz w:val="28"/>
          <w:szCs w:val="28"/>
        </w:rPr>
      </w:pPr>
    </w:p>
    <w:p w:rsidR="00C70A98" w:rsidRPr="00695348" w:rsidRDefault="00C70A98" w:rsidP="00C70A98">
      <w:pPr>
        <w:jc w:val="right"/>
        <w:rPr>
          <w:sz w:val="24"/>
          <w:szCs w:val="24"/>
        </w:rPr>
      </w:pPr>
      <w:r w:rsidRPr="00695348">
        <w:rPr>
          <w:sz w:val="24"/>
          <w:szCs w:val="24"/>
        </w:rPr>
        <w:t>Alla cortese attenzione di tutte le società di ginnastica Uisp Comitato del Trentino</w:t>
      </w:r>
    </w:p>
    <w:p w:rsidR="00C70A98" w:rsidRDefault="00FC2819" w:rsidP="00157551">
      <w:pPr>
        <w:jc w:val="right"/>
        <w:rPr>
          <w:sz w:val="24"/>
          <w:szCs w:val="24"/>
        </w:rPr>
      </w:pPr>
      <w:r w:rsidRPr="00695348">
        <w:rPr>
          <w:sz w:val="24"/>
          <w:szCs w:val="24"/>
        </w:rPr>
        <w:t>A tutti i Dirigenti delle società sportive affiliate alla Uisp Comitato del Trentino</w:t>
      </w:r>
    </w:p>
    <w:p w:rsidR="00106A81" w:rsidRDefault="00106A81" w:rsidP="00157551">
      <w:pPr>
        <w:jc w:val="right"/>
        <w:rPr>
          <w:sz w:val="24"/>
          <w:szCs w:val="24"/>
        </w:rPr>
      </w:pPr>
      <w:r w:rsidRPr="00106A81">
        <w:rPr>
          <w:sz w:val="24"/>
          <w:szCs w:val="24"/>
        </w:rPr>
        <w:t>Alla cortese attenzione di tutte le società affiliate Uisp del Comitato del Trentino</w:t>
      </w:r>
    </w:p>
    <w:p w:rsidR="00C70A98" w:rsidRDefault="00C70A98" w:rsidP="00C70A98">
      <w:pPr>
        <w:rPr>
          <w:b/>
          <w:sz w:val="28"/>
          <w:szCs w:val="28"/>
        </w:rPr>
      </w:pPr>
    </w:p>
    <w:p w:rsidR="00106A81" w:rsidRPr="00106A81" w:rsidRDefault="00C70A98" w:rsidP="00106A81">
      <w:pPr>
        <w:rPr>
          <w:b/>
        </w:rPr>
      </w:pPr>
      <w:r w:rsidRPr="00106A81">
        <w:rPr>
          <w:b/>
        </w:rPr>
        <w:t xml:space="preserve">OGGETTO: </w:t>
      </w:r>
      <w:r w:rsidR="00106A81" w:rsidRPr="00106A81">
        <w:rPr>
          <w:b/>
        </w:rPr>
        <w:t>Formazione 2016 per tecnici e dirigenti delle associazioni UISP del Trentino.</w:t>
      </w:r>
    </w:p>
    <w:p w:rsidR="00106A81" w:rsidRDefault="00B769BC" w:rsidP="00106A81">
      <w:pPr>
        <w:shd w:val="clear" w:color="auto" w:fill="FFFFFF" w:themeFill="background1"/>
        <w:rPr>
          <w:color w:val="000000" w:themeColor="text1"/>
        </w:rPr>
      </w:pPr>
      <w:r w:rsidRPr="00106A81">
        <w:rPr>
          <w:color w:val="000000" w:themeColor="text1"/>
        </w:rPr>
        <w:t>Il Comitato UISP del Trentino, in conformità</w:t>
      </w:r>
      <w:r w:rsidR="00106A81">
        <w:rPr>
          <w:color w:val="000000" w:themeColor="text1"/>
        </w:rPr>
        <w:t xml:space="preserve"> alle indicazioni dettate dalle Norme e specifiche sulla formazione nazionale approvate dal Consiglio Nazionale del 21 e 22 febbraio 2014, propone dei moduli formativi destinati a Dirigenti sportivi, tecnici, allenatori ed educatori. E’ possibile aderire </w:t>
      </w:r>
      <w:r w:rsidR="00533985">
        <w:rPr>
          <w:color w:val="000000" w:themeColor="text1"/>
        </w:rPr>
        <w:t>a</w:t>
      </w:r>
      <w:r w:rsidR="00F77CDD">
        <w:rPr>
          <w:color w:val="000000" w:themeColor="text1"/>
        </w:rPr>
        <w:t>d</w:t>
      </w:r>
      <w:r w:rsidR="00106A81">
        <w:rPr>
          <w:color w:val="000000" w:themeColor="text1"/>
        </w:rPr>
        <w:t xml:space="preserve"> uno o più moduli oppure a tutto il percorso.</w:t>
      </w:r>
    </w:p>
    <w:p w:rsidR="00880B84" w:rsidRPr="00106A81" w:rsidRDefault="00106A81" w:rsidP="00106A81">
      <w:pPr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>Il calendario delle lezioni è il seguente:</w:t>
      </w:r>
      <w:r w:rsidR="00B769BC" w:rsidRPr="00106A81">
        <w:rPr>
          <w:color w:val="000000" w:themeColor="text1"/>
        </w:rPr>
        <w:t xml:space="preserve"> </w:t>
      </w:r>
    </w:p>
    <w:tbl>
      <w:tblPr>
        <w:tblpPr w:leftFromText="141" w:rightFromText="141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2"/>
        <w:gridCol w:w="912"/>
        <w:gridCol w:w="1458"/>
        <w:gridCol w:w="709"/>
        <w:gridCol w:w="4251"/>
        <w:gridCol w:w="1382"/>
      </w:tblGrid>
      <w:tr w:rsidR="00880B84" w:rsidRPr="00880B84" w:rsidTr="00880B84">
        <w:trPr>
          <w:cantSplit/>
          <w:trHeight w:val="667"/>
        </w:trPr>
        <w:tc>
          <w:tcPr>
            <w:tcW w:w="579" w:type="pct"/>
            <w:tcBorders>
              <w:bottom w:val="single" w:sz="18" w:space="0" w:color="auto"/>
            </w:tcBorders>
            <w:textDirection w:val="btLr"/>
          </w:tcPr>
          <w:p w:rsidR="00880B84" w:rsidRPr="00880B84" w:rsidRDefault="00880B84" w:rsidP="00880B84">
            <w:pPr>
              <w:tabs>
                <w:tab w:val="center" w:pos="993"/>
              </w:tabs>
              <w:ind w:left="113" w:right="113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18" w:space="0" w:color="auto"/>
            </w:tcBorders>
          </w:tcPr>
          <w:p w:rsidR="00880B84" w:rsidRPr="00880B84" w:rsidRDefault="00880B84" w:rsidP="00880B84">
            <w:pPr>
              <w:tabs>
                <w:tab w:val="center" w:pos="993"/>
              </w:tabs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     Sede</w:t>
            </w:r>
          </w:p>
        </w:tc>
        <w:tc>
          <w:tcPr>
            <w:tcW w:w="740" w:type="pct"/>
            <w:tcBorders>
              <w:bottom w:val="single" w:sz="18" w:space="0" w:color="auto"/>
            </w:tcBorders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Data e ora</w:t>
            </w:r>
          </w:p>
        </w:tc>
        <w:tc>
          <w:tcPr>
            <w:tcW w:w="360" w:type="pct"/>
            <w:tcBorders>
              <w:bottom w:val="single" w:sz="18" w:space="0" w:color="auto"/>
            </w:tcBorders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N° ore</w:t>
            </w:r>
          </w:p>
        </w:tc>
        <w:tc>
          <w:tcPr>
            <w:tcW w:w="2157" w:type="pct"/>
            <w:tcBorders>
              <w:bottom w:val="single" w:sz="18" w:space="0" w:color="auto"/>
            </w:tcBorders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Contenuto</w:t>
            </w:r>
          </w:p>
        </w:tc>
        <w:tc>
          <w:tcPr>
            <w:tcW w:w="701" w:type="pct"/>
            <w:tcBorders>
              <w:bottom w:val="single" w:sz="18" w:space="0" w:color="auto"/>
            </w:tcBorders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Docente</w:t>
            </w:r>
          </w:p>
        </w:tc>
      </w:tr>
      <w:tr w:rsidR="00880B84" w:rsidRPr="00880B84" w:rsidTr="00533985">
        <w:trPr>
          <w:trHeight w:val="1121"/>
        </w:trPr>
        <w:tc>
          <w:tcPr>
            <w:tcW w:w="579" w:type="pct"/>
            <w:tcBorders>
              <w:top w:val="single" w:sz="18" w:space="0" w:color="auto"/>
              <w:bottom w:val="single" w:sz="18" w:space="0" w:color="auto"/>
            </w:tcBorders>
            <w:shd w:val="pct25" w:color="auto" w:fill="auto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880B84">
              <w:rPr>
                <w:b/>
                <w:sz w:val="18"/>
                <w:szCs w:val="18"/>
                <w:lang w:val="en-US"/>
              </w:rPr>
              <w:t>DIR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880B84">
              <w:rPr>
                <w:b/>
                <w:sz w:val="18"/>
                <w:szCs w:val="18"/>
                <w:lang w:val="en-US"/>
              </w:rPr>
              <w:t>OSV/C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880B84">
              <w:rPr>
                <w:b/>
                <w:sz w:val="18"/>
                <w:szCs w:val="18"/>
                <w:lang w:val="en-US"/>
              </w:rPr>
              <w:t>OSV/LG</w:t>
            </w:r>
          </w:p>
        </w:tc>
        <w:tc>
          <w:tcPr>
            <w:tcW w:w="463" w:type="pct"/>
            <w:tcBorders>
              <w:top w:val="single" w:sz="18" w:space="0" w:color="auto"/>
              <w:bottom w:val="single" w:sz="18" w:space="0" w:color="auto"/>
            </w:tcBorders>
            <w:shd w:val="pct25" w:color="auto" w:fill="auto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Uisp Comitato di Trento </w:t>
            </w:r>
          </w:p>
        </w:tc>
        <w:tc>
          <w:tcPr>
            <w:tcW w:w="740" w:type="pct"/>
            <w:tcBorders>
              <w:top w:val="single" w:sz="18" w:space="0" w:color="auto"/>
              <w:bottom w:val="single" w:sz="18" w:space="0" w:color="auto"/>
            </w:tcBorders>
            <w:shd w:val="pct25" w:color="auto" w:fill="auto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Data da definire</w:t>
            </w:r>
          </w:p>
        </w:tc>
        <w:tc>
          <w:tcPr>
            <w:tcW w:w="360" w:type="pct"/>
            <w:tcBorders>
              <w:top w:val="single" w:sz="18" w:space="0" w:color="auto"/>
              <w:bottom w:val="single" w:sz="18" w:space="0" w:color="auto"/>
            </w:tcBorders>
            <w:shd w:val="pct25" w:color="auto" w:fill="auto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57" w:type="pct"/>
            <w:tcBorders>
              <w:top w:val="single" w:sz="18" w:space="0" w:color="auto"/>
              <w:bottom w:val="single" w:sz="18" w:space="0" w:color="auto"/>
            </w:tcBorders>
            <w:shd w:val="pct25" w:color="auto" w:fill="auto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Pronto Soccorso BLS </w:t>
            </w:r>
            <w:proofErr w:type="gramStart"/>
            <w:r w:rsidRPr="00880B84">
              <w:rPr>
                <w:b/>
                <w:sz w:val="18"/>
                <w:szCs w:val="18"/>
              </w:rPr>
              <w:t>ed</w:t>
            </w:r>
            <w:proofErr w:type="gramEnd"/>
            <w:r w:rsidRPr="00880B84">
              <w:rPr>
                <w:b/>
                <w:sz w:val="18"/>
                <w:szCs w:val="18"/>
              </w:rPr>
              <w:t xml:space="preserve"> certificazione all’ uso del defibrillatore</w:t>
            </w:r>
          </w:p>
        </w:tc>
        <w:tc>
          <w:tcPr>
            <w:tcW w:w="701" w:type="pct"/>
            <w:tcBorders>
              <w:top w:val="single" w:sz="18" w:space="0" w:color="auto"/>
              <w:bottom w:val="single" w:sz="18" w:space="0" w:color="auto"/>
            </w:tcBorders>
            <w:shd w:val="pct25" w:color="auto" w:fill="auto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Luigi Zuccati </w:t>
            </w:r>
          </w:p>
        </w:tc>
      </w:tr>
      <w:tr w:rsidR="00880B84" w:rsidRPr="00880B84" w:rsidTr="00880B84">
        <w:trPr>
          <w:trHeight w:val="1572"/>
        </w:trPr>
        <w:tc>
          <w:tcPr>
            <w:tcW w:w="5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DIR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OSV/C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OSV/LG</w:t>
            </w:r>
          </w:p>
        </w:tc>
        <w:tc>
          <w:tcPr>
            <w:tcW w:w="46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Uisp Comitato di Trento</w:t>
            </w:r>
          </w:p>
        </w:tc>
        <w:tc>
          <w:tcPr>
            <w:tcW w:w="74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OMENICA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 10 gennaio 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dalle 9 alle 13 e dalle 14 alle 16</w:t>
            </w:r>
          </w:p>
        </w:tc>
        <w:tc>
          <w:tcPr>
            <w:tcW w:w="3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Aree Comuni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Attività istituzionale della UISP e  “Mission” Associativa (9 -  11)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Psico-pedagogia dello sportivo (11 – 13  e  14 -16)</w:t>
            </w:r>
          </w:p>
        </w:tc>
        <w:tc>
          <w:tcPr>
            <w:tcW w:w="7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Rita Scalambra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Marta Campores</w:t>
            </w:r>
            <w:r w:rsidR="00F77CDD">
              <w:rPr>
                <w:b/>
                <w:sz w:val="18"/>
                <w:szCs w:val="18"/>
              </w:rPr>
              <w:t>i</w:t>
            </w:r>
          </w:p>
        </w:tc>
      </w:tr>
      <w:tr w:rsidR="00880B84" w:rsidRPr="00880B84" w:rsidTr="00533985">
        <w:trPr>
          <w:trHeight w:val="1278"/>
        </w:trPr>
        <w:tc>
          <w:tcPr>
            <w:tcW w:w="5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DIR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OSV/C</w:t>
            </w:r>
          </w:p>
          <w:p w:rsidR="00533985" w:rsidRPr="00880B84" w:rsidRDefault="00880B84" w:rsidP="00533985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OSV/L</w:t>
            </w:r>
            <w:r w:rsidR="00533985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6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Uisp Comitato di Trento</w:t>
            </w:r>
          </w:p>
        </w:tc>
        <w:tc>
          <w:tcPr>
            <w:tcW w:w="74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ABATO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16 gennaio dalle 15  alle 19</w:t>
            </w:r>
          </w:p>
        </w:tc>
        <w:tc>
          <w:tcPr>
            <w:tcW w:w="3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Aree Comuni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Responsabilità minori e tutela della privacy (14 – 16) </w:t>
            </w:r>
          </w:p>
          <w:p w:rsidR="00880B84" w:rsidRPr="00880B84" w:rsidRDefault="00880B84" w:rsidP="00533985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Psicopedagogia del bambino (16 – 20) </w:t>
            </w:r>
          </w:p>
        </w:tc>
        <w:tc>
          <w:tcPr>
            <w:tcW w:w="7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Beatrice Andalò </w:t>
            </w:r>
          </w:p>
        </w:tc>
      </w:tr>
      <w:tr w:rsidR="00880B84" w:rsidRPr="00880B84" w:rsidTr="00533985">
        <w:trPr>
          <w:trHeight w:val="1742"/>
        </w:trPr>
        <w:tc>
          <w:tcPr>
            <w:tcW w:w="5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OSV/C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OSV/LG</w:t>
            </w:r>
          </w:p>
        </w:tc>
        <w:tc>
          <w:tcPr>
            <w:tcW w:w="46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Uisp Comitato di Trento</w:t>
            </w:r>
          </w:p>
        </w:tc>
        <w:tc>
          <w:tcPr>
            <w:tcW w:w="74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OMENICA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17 gennaio dalle 9 alle 13 </w:t>
            </w:r>
          </w:p>
        </w:tc>
        <w:tc>
          <w:tcPr>
            <w:tcW w:w="3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5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Aree Comuni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Teoria dell’allenamento (14 – 16) </w:t>
            </w:r>
          </w:p>
          <w:p w:rsidR="00533985" w:rsidRPr="00880B84" w:rsidRDefault="00880B84" w:rsidP="00533985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La comunicazione (17 – 19</w:t>
            </w:r>
            <w:r w:rsidR="0053398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Marina Taffara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Marina Taffara</w:t>
            </w:r>
          </w:p>
        </w:tc>
      </w:tr>
      <w:tr w:rsidR="00533985" w:rsidRPr="00880B84" w:rsidTr="00533985">
        <w:trPr>
          <w:trHeight w:val="808"/>
        </w:trPr>
        <w:tc>
          <w:tcPr>
            <w:tcW w:w="579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33985" w:rsidRPr="00880B84" w:rsidRDefault="00533985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33985" w:rsidRPr="00880B84" w:rsidRDefault="00533985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Sede</w:t>
            </w:r>
          </w:p>
        </w:tc>
        <w:tc>
          <w:tcPr>
            <w:tcW w:w="740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33985" w:rsidRPr="00880B84" w:rsidRDefault="00533985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Data e ora</w:t>
            </w:r>
          </w:p>
        </w:tc>
        <w:tc>
          <w:tcPr>
            <w:tcW w:w="360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33985" w:rsidRPr="00880B84" w:rsidRDefault="00533985" w:rsidP="00880B84">
            <w:pPr>
              <w:tabs>
                <w:tab w:val="center" w:pos="993"/>
              </w:tabs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N° ore</w:t>
            </w:r>
          </w:p>
        </w:tc>
        <w:tc>
          <w:tcPr>
            <w:tcW w:w="2157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33985" w:rsidRPr="00880B84" w:rsidRDefault="00533985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Contenuto</w:t>
            </w:r>
          </w:p>
        </w:tc>
        <w:tc>
          <w:tcPr>
            <w:tcW w:w="701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33985" w:rsidRPr="00880B84" w:rsidRDefault="00533985" w:rsidP="00533985">
            <w:pPr>
              <w:tabs>
                <w:tab w:val="center" w:pos="993"/>
              </w:tabs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Docente</w:t>
            </w:r>
          </w:p>
        </w:tc>
      </w:tr>
      <w:tr w:rsidR="00880B84" w:rsidRPr="00880B84" w:rsidTr="00533985">
        <w:trPr>
          <w:trHeight w:val="1233"/>
        </w:trPr>
        <w:tc>
          <w:tcPr>
            <w:tcW w:w="579" w:type="pct"/>
            <w:tcBorders>
              <w:top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OSV/C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OSV/LG</w:t>
            </w:r>
          </w:p>
        </w:tc>
        <w:tc>
          <w:tcPr>
            <w:tcW w:w="463" w:type="pct"/>
            <w:tcBorders>
              <w:top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In palestra</w:t>
            </w:r>
          </w:p>
        </w:tc>
        <w:tc>
          <w:tcPr>
            <w:tcW w:w="740" w:type="pct"/>
            <w:tcBorders>
              <w:top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ABATO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 23 gennaio dalle 15 alle 19</w:t>
            </w:r>
          </w:p>
        </w:tc>
        <w:tc>
          <w:tcPr>
            <w:tcW w:w="360" w:type="pct"/>
            <w:tcBorders>
              <w:top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57" w:type="pct"/>
            <w:tcBorders>
              <w:top w:val="single" w:sz="18" w:space="0" w:color="auto"/>
            </w:tcBorders>
            <w:shd w:val="clear" w:color="auto" w:fill="92D050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Aree Comuni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Modelli di didattica delle attività motorie (15 - 17)</w:t>
            </w:r>
          </w:p>
          <w:p w:rsidR="00533985" w:rsidRPr="00880B84" w:rsidRDefault="00880B84" w:rsidP="00533985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Metodologia di insegnamento (17 </w:t>
            </w:r>
            <w:r w:rsidR="00533985">
              <w:rPr>
                <w:b/>
                <w:sz w:val="18"/>
                <w:szCs w:val="18"/>
              </w:rPr>
              <w:t>–</w:t>
            </w:r>
            <w:r w:rsidRPr="00880B84">
              <w:rPr>
                <w:b/>
                <w:sz w:val="18"/>
                <w:szCs w:val="18"/>
              </w:rPr>
              <w:t xml:space="preserve"> 19</w:t>
            </w:r>
            <w:r w:rsidR="0053398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1" w:type="pct"/>
            <w:tcBorders>
              <w:top w:val="single" w:sz="18" w:space="0" w:color="auto"/>
            </w:tcBorders>
            <w:shd w:val="clear" w:color="auto" w:fill="92D050"/>
          </w:tcPr>
          <w:p w:rsidR="00880B84" w:rsidRPr="00880B84" w:rsidRDefault="00880B84" w:rsidP="00533985">
            <w:pPr>
              <w:tabs>
                <w:tab w:val="center" w:pos="993"/>
              </w:tabs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Beatrice Andalò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880B84" w:rsidRPr="00880B84" w:rsidTr="00880B84">
        <w:trPr>
          <w:trHeight w:val="977"/>
        </w:trPr>
        <w:tc>
          <w:tcPr>
            <w:tcW w:w="579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OSV/LG</w:t>
            </w:r>
          </w:p>
        </w:tc>
        <w:tc>
          <w:tcPr>
            <w:tcW w:w="463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Uisp Comitato di Trento</w:t>
            </w:r>
          </w:p>
        </w:tc>
        <w:tc>
          <w:tcPr>
            <w:tcW w:w="74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SAB</w:t>
            </w:r>
            <w:r>
              <w:rPr>
                <w:b/>
                <w:sz w:val="18"/>
                <w:szCs w:val="18"/>
              </w:rPr>
              <w:t xml:space="preserve">ATO          </w:t>
            </w:r>
            <w:r w:rsidRPr="00880B84">
              <w:rPr>
                <w:b/>
                <w:sz w:val="18"/>
                <w:szCs w:val="18"/>
              </w:rPr>
              <w:t xml:space="preserve"> 30 gennaio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880B84">
              <w:rPr>
                <w:b/>
                <w:sz w:val="18"/>
                <w:szCs w:val="18"/>
              </w:rPr>
              <w:t>dalle 15 alle 19</w:t>
            </w:r>
          </w:p>
        </w:tc>
        <w:tc>
          <w:tcPr>
            <w:tcW w:w="36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57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Mod  A) Capacità motorie: 2 ore 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 Mod  B) Schemi motori di base: 2 ore</w:t>
            </w:r>
            <w:r w:rsidRPr="00880B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Marina Taffara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Marina Taffara</w:t>
            </w:r>
          </w:p>
        </w:tc>
      </w:tr>
      <w:tr w:rsidR="00880B84" w:rsidRPr="00880B84" w:rsidTr="00880B84">
        <w:trPr>
          <w:trHeight w:val="1632"/>
        </w:trPr>
        <w:tc>
          <w:tcPr>
            <w:tcW w:w="579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OSV/LG</w:t>
            </w:r>
          </w:p>
        </w:tc>
        <w:tc>
          <w:tcPr>
            <w:tcW w:w="463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Palestra Trento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DOM</w:t>
            </w:r>
            <w:r>
              <w:rPr>
                <w:b/>
                <w:sz w:val="18"/>
                <w:szCs w:val="18"/>
              </w:rPr>
              <w:t xml:space="preserve">ENICA     </w:t>
            </w:r>
            <w:r w:rsidRPr="00880B84">
              <w:rPr>
                <w:b/>
                <w:sz w:val="18"/>
                <w:szCs w:val="18"/>
              </w:rPr>
              <w:t xml:space="preserve"> 31 gennaio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80B84">
              <w:rPr>
                <w:b/>
                <w:sz w:val="18"/>
                <w:szCs w:val="18"/>
              </w:rPr>
              <w:t xml:space="preserve">dalle 9  alle 13 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e dalle 14 alle 16</w:t>
            </w:r>
          </w:p>
        </w:tc>
        <w:tc>
          <w:tcPr>
            <w:tcW w:w="36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7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Mod C) Sviluppo evolutivo e motivazioni nell’attività motoria: 2 ore (teoria)</w:t>
            </w: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Mod CLab) Sviluppo evolutivo e sue motivazioni nell’attività motoria – Laboratorio -  2 ore (in palestra)</w:t>
            </w: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Mod DLab) Giochi motori: approccio ludico all’attività e metodologia di lavoro: 2 ore ( in palestra)</w:t>
            </w:r>
          </w:p>
        </w:tc>
        <w:tc>
          <w:tcPr>
            <w:tcW w:w="701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Beatrice Andalò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Beatrice Andalò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Beatrice Andalò</w:t>
            </w:r>
          </w:p>
        </w:tc>
      </w:tr>
      <w:tr w:rsidR="00880B84" w:rsidRPr="00880B84" w:rsidTr="00880B84">
        <w:trPr>
          <w:trHeight w:val="1060"/>
        </w:trPr>
        <w:tc>
          <w:tcPr>
            <w:tcW w:w="579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OSV/LG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 xml:space="preserve">Palestra 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Don Milani                 Pergine VA</w:t>
            </w:r>
          </w:p>
        </w:tc>
        <w:tc>
          <w:tcPr>
            <w:tcW w:w="74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VEN</w:t>
            </w:r>
            <w:r>
              <w:rPr>
                <w:b/>
                <w:sz w:val="18"/>
                <w:szCs w:val="18"/>
              </w:rPr>
              <w:t xml:space="preserve">ERDI’         </w:t>
            </w:r>
            <w:r w:rsidRPr="00880B84">
              <w:rPr>
                <w:b/>
                <w:sz w:val="18"/>
                <w:szCs w:val="18"/>
              </w:rPr>
              <w:t xml:space="preserve"> 12 febbraio dalle 16,45           alle 20,45</w:t>
            </w:r>
          </w:p>
        </w:tc>
        <w:tc>
          <w:tcPr>
            <w:tcW w:w="36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57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Mod  BTir) Tirocinio e osservazione schemi motori di base: 2 ore           (in palestra)</w:t>
            </w: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Mod  ATir) Tirocinio e osservazione capacità motorie 2 ore  (in palestra)</w:t>
            </w:r>
          </w:p>
        </w:tc>
        <w:tc>
          <w:tcPr>
            <w:tcW w:w="701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Marina Taffara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Marina Taffara</w:t>
            </w:r>
          </w:p>
        </w:tc>
      </w:tr>
      <w:tr w:rsidR="00880B84" w:rsidRPr="00880B84" w:rsidTr="00880B84">
        <w:trPr>
          <w:trHeight w:val="1060"/>
        </w:trPr>
        <w:tc>
          <w:tcPr>
            <w:tcW w:w="579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OSV/LG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Palestra Trento</w:t>
            </w: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DOM</w:t>
            </w:r>
            <w:r>
              <w:rPr>
                <w:b/>
                <w:sz w:val="18"/>
                <w:szCs w:val="18"/>
              </w:rPr>
              <w:t xml:space="preserve">ENICA     </w:t>
            </w:r>
            <w:r w:rsidRPr="00880B84">
              <w:rPr>
                <w:b/>
                <w:sz w:val="18"/>
                <w:szCs w:val="18"/>
              </w:rPr>
              <w:t xml:space="preserve"> 21 febbraio dalle 11 alle 13 e dalle 14 alle 16</w:t>
            </w:r>
          </w:p>
        </w:tc>
        <w:tc>
          <w:tcPr>
            <w:tcW w:w="36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7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Mod ELab) Metodologia e sperimentazione nella Ginnastica Libera</w:t>
            </w:r>
          </w:p>
        </w:tc>
        <w:tc>
          <w:tcPr>
            <w:tcW w:w="701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Marta Campores</w:t>
            </w:r>
            <w:r w:rsidR="00F77CDD">
              <w:rPr>
                <w:b/>
                <w:sz w:val="18"/>
                <w:szCs w:val="18"/>
              </w:rPr>
              <w:t>i</w:t>
            </w:r>
          </w:p>
        </w:tc>
      </w:tr>
      <w:tr w:rsidR="00880B84" w:rsidRPr="00880B84" w:rsidTr="00880B84">
        <w:trPr>
          <w:trHeight w:val="408"/>
        </w:trPr>
        <w:tc>
          <w:tcPr>
            <w:tcW w:w="579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OSV/LG</w:t>
            </w:r>
          </w:p>
        </w:tc>
        <w:tc>
          <w:tcPr>
            <w:tcW w:w="463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Data da stabilire</w:t>
            </w:r>
          </w:p>
        </w:tc>
        <w:tc>
          <w:tcPr>
            <w:tcW w:w="360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7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  <w:r w:rsidRPr="00880B84">
              <w:rPr>
                <w:b/>
                <w:sz w:val="18"/>
                <w:szCs w:val="18"/>
              </w:rPr>
              <w:t>ESAME FINALE</w:t>
            </w:r>
          </w:p>
        </w:tc>
        <w:tc>
          <w:tcPr>
            <w:tcW w:w="701" w:type="pct"/>
            <w:shd w:val="clear" w:color="auto" w:fill="D99594" w:themeFill="accent2" w:themeFillTint="99"/>
          </w:tcPr>
          <w:p w:rsidR="00880B84" w:rsidRPr="00880B84" w:rsidRDefault="00880B84" w:rsidP="00880B84">
            <w:pPr>
              <w:tabs>
                <w:tab w:val="center" w:pos="993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33985" w:rsidRPr="00533985" w:rsidRDefault="00533985" w:rsidP="00533985">
      <w:pPr>
        <w:rPr>
          <w:b/>
        </w:rPr>
      </w:pPr>
    </w:p>
    <w:p w:rsidR="00533985" w:rsidRDefault="00533985" w:rsidP="00837CE5"/>
    <w:p w:rsidR="00533985" w:rsidRDefault="00533985" w:rsidP="00837CE5"/>
    <w:p w:rsidR="00533985" w:rsidRDefault="00533985" w:rsidP="00837CE5"/>
    <w:p w:rsidR="00533985" w:rsidRDefault="00533985" w:rsidP="00837CE5"/>
    <w:p w:rsidR="00533985" w:rsidRDefault="00533985" w:rsidP="00837CE5"/>
    <w:p w:rsidR="00533985" w:rsidRDefault="00533985" w:rsidP="00837CE5"/>
    <w:p w:rsidR="00533985" w:rsidRDefault="00533985" w:rsidP="00837CE5"/>
    <w:p w:rsidR="00533985" w:rsidRDefault="00533985" w:rsidP="00837CE5"/>
    <w:p w:rsidR="00533985" w:rsidRPr="00837CE5" w:rsidRDefault="00533985" w:rsidP="00837CE5">
      <w:r w:rsidRPr="00533985"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-242570</wp:posOffset>
            </wp:positionV>
            <wp:extent cx="1390650" cy="847725"/>
            <wp:effectExtent l="19050" t="0" r="0" b="0"/>
            <wp:wrapSquare wrapText="bothSides"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985" w:rsidRPr="00533985" w:rsidRDefault="00533985" w:rsidP="00533985">
      <w:pPr>
        <w:pStyle w:val="Paragrafoelenco"/>
        <w:rPr>
          <w:b/>
        </w:rPr>
      </w:pPr>
    </w:p>
    <w:p w:rsidR="00533985" w:rsidRPr="00533985" w:rsidRDefault="00533985" w:rsidP="00533985">
      <w:pPr>
        <w:pStyle w:val="Paragrafoelenco"/>
        <w:rPr>
          <w:b/>
        </w:rPr>
      </w:pPr>
    </w:p>
    <w:p w:rsidR="00533985" w:rsidRPr="00533985" w:rsidRDefault="00533985" w:rsidP="00533985">
      <w:pPr>
        <w:pStyle w:val="Paragrafoelenco"/>
        <w:rPr>
          <w:b/>
        </w:rPr>
      </w:pPr>
    </w:p>
    <w:p w:rsidR="00533985" w:rsidRPr="00533985" w:rsidRDefault="00533985" w:rsidP="00533985">
      <w:pPr>
        <w:pStyle w:val="Paragrafoelenco"/>
        <w:rPr>
          <w:b/>
        </w:rPr>
      </w:pPr>
    </w:p>
    <w:p w:rsidR="00533985" w:rsidRPr="00533985" w:rsidRDefault="00533985" w:rsidP="00533985">
      <w:pPr>
        <w:pStyle w:val="Paragrafoelenco"/>
        <w:rPr>
          <w:b/>
        </w:rPr>
      </w:pPr>
    </w:p>
    <w:p w:rsidR="00533985" w:rsidRPr="00401C90" w:rsidRDefault="00196F0E" w:rsidP="00533985">
      <w:pPr>
        <w:pStyle w:val="Paragrafoelenco"/>
        <w:numPr>
          <w:ilvl w:val="0"/>
          <w:numId w:val="3"/>
        </w:numPr>
        <w:rPr>
          <w:b/>
        </w:rPr>
      </w:pPr>
      <w:r>
        <w:rPr>
          <w:b/>
          <w:sz w:val="24"/>
          <w:szCs w:val="24"/>
        </w:rPr>
        <w:t>Proposta 1</w:t>
      </w:r>
      <w:r w:rsidR="00533985">
        <w:rPr>
          <w:b/>
          <w:sz w:val="24"/>
          <w:szCs w:val="24"/>
        </w:rPr>
        <w:t>: MODULO per TECNICI e DIRIGENTI SPORTIVI</w:t>
      </w:r>
      <w:r w:rsidR="00533985" w:rsidRPr="00837CE5">
        <w:rPr>
          <w:b/>
          <w:sz w:val="24"/>
          <w:szCs w:val="24"/>
        </w:rPr>
        <w:t xml:space="preserve"> </w:t>
      </w:r>
      <w:r w:rsidR="00533985">
        <w:rPr>
          <w:b/>
          <w:sz w:val="24"/>
          <w:szCs w:val="24"/>
        </w:rPr>
        <w:t>DIR, OSV/C</w:t>
      </w:r>
      <w:r w:rsidR="00D01733">
        <w:rPr>
          <w:b/>
          <w:sz w:val="24"/>
          <w:szCs w:val="24"/>
        </w:rPr>
        <w:t xml:space="preserve"> </w:t>
      </w:r>
      <w:r w:rsidR="00533985">
        <w:rPr>
          <w:b/>
          <w:sz w:val="24"/>
          <w:szCs w:val="24"/>
        </w:rPr>
        <w:t xml:space="preserve">e OSV/LG (grigio): </w:t>
      </w:r>
    </w:p>
    <w:p w:rsidR="00533985" w:rsidRDefault="00533985" w:rsidP="00533985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BLS pronto soccorso e uso DEFIBRILLATORE</w:t>
      </w:r>
    </w:p>
    <w:p w:rsidR="00533985" w:rsidRDefault="00533985" w:rsidP="00533985">
      <w:pPr>
        <w:pStyle w:val="Paragrafoelenco"/>
        <w:rPr>
          <w:b/>
        </w:rPr>
      </w:pPr>
      <w:r>
        <w:rPr>
          <w:b/>
          <w:sz w:val="24"/>
          <w:szCs w:val="24"/>
        </w:rPr>
        <w:t>6</w:t>
      </w:r>
      <w:r w:rsidRPr="00880B84">
        <w:rPr>
          <w:b/>
          <w:sz w:val="24"/>
          <w:szCs w:val="24"/>
        </w:rPr>
        <w:t xml:space="preserve"> ore </w:t>
      </w:r>
    </w:p>
    <w:p w:rsidR="00533985" w:rsidRPr="00B769BC" w:rsidRDefault="00533985" w:rsidP="00533985">
      <w:pPr>
        <w:pStyle w:val="Paragrafoelenco"/>
        <w:rPr>
          <w:b/>
        </w:rPr>
      </w:pPr>
      <w:r>
        <w:rPr>
          <w:b/>
          <w:sz w:val="24"/>
          <w:szCs w:val="24"/>
        </w:rPr>
        <w:t>COSTO:</w:t>
      </w:r>
      <w:r>
        <w:rPr>
          <w:b/>
        </w:rPr>
        <w:t xml:space="preserve">  </w:t>
      </w:r>
      <w:r>
        <w:rPr>
          <w:b/>
          <w:sz w:val="24"/>
          <w:szCs w:val="24"/>
        </w:rPr>
        <w:t>70,00</w:t>
      </w:r>
      <w:r w:rsidRPr="00880B84">
        <w:rPr>
          <w:b/>
          <w:sz w:val="24"/>
          <w:szCs w:val="24"/>
        </w:rPr>
        <w:t xml:space="preserve"> Euro</w:t>
      </w:r>
    </w:p>
    <w:p w:rsidR="00533985" w:rsidRPr="00533985" w:rsidRDefault="00533985" w:rsidP="00533985">
      <w:r w:rsidRPr="00837CE5">
        <w:t xml:space="preserve">Il modulo forma dirigenti e operatori sportivi sulle pratiche BLS di pronto soccorso e sull’uso del defibrillatore con rilascio di relativa certificazione. </w:t>
      </w:r>
    </w:p>
    <w:p w:rsidR="00533985" w:rsidRPr="00533985" w:rsidRDefault="00533985" w:rsidP="00533985">
      <w:pPr>
        <w:pStyle w:val="Paragrafoelenco"/>
        <w:rPr>
          <w:b/>
        </w:rPr>
      </w:pPr>
    </w:p>
    <w:p w:rsidR="00837CE5" w:rsidRPr="00401C90" w:rsidRDefault="008E0DA1" w:rsidP="00837CE5">
      <w:pPr>
        <w:pStyle w:val="Paragrafoelenco"/>
        <w:numPr>
          <w:ilvl w:val="0"/>
          <w:numId w:val="3"/>
        </w:numPr>
        <w:rPr>
          <w:b/>
        </w:rPr>
      </w:pPr>
      <w:r>
        <w:rPr>
          <w:b/>
          <w:sz w:val="24"/>
          <w:szCs w:val="24"/>
        </w:rPr>
        <w:t>Proposta 2</w:t>
      </w:r>
      <w:r w:rsidR="00837CE5">
        <w:rPr>
          <w:b/>
          <w:sz w:val="24"/>
          <w:szCs w:val="24"/>
        </w:rPr>
        <w:t>: MODULI AREA COMUNE per DIRIGENTI SPORTIVI</w:t>
      </w:r>
      <w:r w:rsidR="00837CE5" w:rsidRPr="00837CE5">
        <w:rPr>
          <w:b/>
          <w:sz w:val="24"/>
          <w:szCs w:val="24"/>
        </w:rPr>
        <w:t xml:space="preserve"> </w:t>
      </w:r>
      <w:r w:rsidR="00837CE5">
        <w:rPr>
          <w:b/>
          <w:sz w:val="24"/>
          <w:szCs w:val="24"/>
        </w:rPr>
        <w:t xml:space="preserve">(grigio </w:t>
      </w:r>
      <w:r w:rsidR="002E7428">
        <w:rPr>
          <w:b/>
          <w:sz w:val="24"/>
          <w:szCs w:val="24"/>
        </w:rPr>
        <w:t>–</w:t>
      </w:r>
      <w:r w:rsidR="00837CE5">
        <w:rPr>
          <w:b/>
          <w:sz w:val="24"/>
          <w:szCs w:val="24"/>
        </w:rPr>
        <w:t xml:space="preserve"> arancio</w:t>
      </w:r>
      <w:r w:rsidR="002E7428">
        <w:rPr>
          <w:b/>
          <w:sz w:val="24"/>
          <w:szCs w:val="24"/>
        </w:rPr>
        <w:t>)</w:t>
      </w:r>
      <w:r w:rsidR="00D01733" w:rsidRPr="00B769BC">
        <w:rPr>
          <w:b/>
          <w:sz w:val="24"/>
          <w:szCs w:val="24"/>
        </w:rPr>
        <w:t>:</w:t>
      </w:r>
      <w:r w:rsidR="00837CE5" w:rsidRPr="00B769BC">
        <w:rPr>
          <w:b/>
          <w:sz w:val="24"/>
          <w:szCs w:val="24"/>
        </w:rPr>
        <w:t xml:space="preserve"> </w:t>
      </w:r>
      <w:r w:rsidR="00837CE5">
        <w:rPr>
          <w:b/>
          <w:sz w:val="24"/>
          <w:szCs w:val="24"/>
        </w:rPr>
        <w:t xml:space="preserve">          </w:t>
      </w:r>
    </w:p>
    <w:p w:rsidR="00837CE5" w:rsidRDefault="002E7428" w:rsidP="00837CE5">
      <w:pPr>
        <w:pStyle w:val="Paragrafoelenco"/>
        <w:rPr>
          <w:b/>
        </w:rPr>
      </w:pPr>
      <w:r>
        <w:rPr>
          <w:b/>
          <w:sz w:val="24"/>
          <w:szCs w:val="24"/>
        </w:rPr>
        <w:t>Formazione generale giuridica e psi</w:t>
      </w:r>
      <w:r w:rsidR="00837CE5" w:rsidRPr="00837CE5">
        <w:rPr>
          <w:b/>
          <w:sz w:val="24"/>
          <w:szCs w:val="24"/>
        </w:rPr>
        <w:t>co</w:t>
      </w:r>
      <w:r>
        <w:rPr>
          <w:b/>
          <w:sz w:val="24"/>
          <w:szCs w:val="24"/>
        </w:rPr>
        <w:t>pedagogica, co</w:t>
      </w:r>
      <w:r w:rsidR="00837CE5" w:rsidRPr="00837CE5">
        <w:rPr>
          <w:b/>
          <w:sz w:val="24"/>
          <w:szCs w:val="24"/>
        </w:rPr>
        <w:t>mpresa la certificazione all’uso del defibrillatore</w:t>
      </w:r>
      <w:r w:rsidR="00837CE5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18</w:t>
      </w:r>
      <w:r w:rsidR="00837CE5" w:rsidRPr="00880B84">
        <w:rPr>
          <w:b/>
          <w:sz w:val="24"/>
          <w:szCs w:val="24"/>
        </w:rPr>
        <w:t xml:space="preserve"> ore </w:t>
      </w:r>
    </w:p>
    <w:p w:rsidR="00837CE5" w:rsidRPr="00B769BC" w:rsidRDefault="00837CE5" w:rsidP="00837CE5">
      <w:pPr>
        <w:pStyle w:val="Paragrafoelenco"/>
        <w:rPr>
          <w:b/>
        </w:rPr>
      </w:pPr>
      <w:r>
        <w:rPr>
          <w:b/>
          <w:sz w:val="24"/>
          <w:szCs w:val="24"/>
        </w:rPr>
        <w:t>COSTO:</w:t>
      </w:r>
      <w:r>
        <w:rPr>
          <w:b/>
        </w:rPr>
        <w:t xml:space="preserve">  </w:t>
      </w:r>
      <w:r w:rsidRPr="00880B84">
        <w:rPr>
          <w:b/>
          <w:sz w:val="24"/>
          <w:szCs w:val="24"/>
        </w:rPr>
        <w:t>1</w:t>
      </w:r>
      <w:r w:rsidR="002E7428">
        <w:rPr>
          <w:b/>
          <w:sz w:val="24"/>
          <w:szCs w:val="24"/>
        </w:rPr>
        <w:t>0</w:t>
      </w:r>
      <w:r w:rsidRPr="00880B8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,00</w:t>
      </w:r>
      <w:r w:rsidRPr="00880B84">
        <w:rPr>
          <w:b/>
          <w:sz w:val="24"/>
          <w:szCs w:val="24"/>
        </w:rPr>
        <w:t xml:space="preserve"> Euro</w:t>
      </w:r>
    </w:p>
    <w:p w:rsidR="00837CE5" w:rsidRDefault="00837CE5" w:rsidP="00837CE5">
      <w:r>
        <w:t>Il percorso è obbligatorio per tutti i dirigenti ed i soci che vogliano intraprendere qualsiasi ulteriore corso all'interno dei Comitati e delle Leghe di specialità.</w:t>
      </w:r>
      <w:r w:rsidRPr="00A72C5D">
        <w:t xml:space="preserve"> </w:t>
      </w:r>
      <w:r>
        <w:t>Chi frequenta la proposta formativa riservata agli operatori sportivi dell’area comune potrà proseguire con la formazione di 18 ore dell’area specifica sportiva non appena il corso verrà attivato, fare l’esame  e conseguire il brevetto OSV dell’area specifica di riferimento.</w:t>
      </w:r>
    </w:p>
    <w:p w:rsidR="002E7428" w:rsidRDefault="002E7428" w:rsidP="00533985">
      <w:pPr>
        <w:tabs>
          <w:tab w:val="center" w:pos="993"/>
        </w:tabs>
      </w:pPr>
      <w:r>
        <w:t>Il percorso rappresenta un’utile formazione per i Dirigenti sportivi che vogliano approfondire i seguenti temi:</w:t>
      </w:r>
      <w:proofErr w:type="gramStart"/>
      <w:r>
        <w:t xml:space="preserve"> </w:t>
      </w:r>
      <w:r w:rsidR="005E138E">
        <w:t xml:space="preserve"> </w:t>
      </w:r>
      <w:proofErr w:type="gramEnd"/>
      <w:r>
        <w:t>-</w:t>
      </w:r>
      <w:r w:rsidRPr="00B0315B">
        <w:t xml:space="preserve"> </w:t>
      </w:r>
      <w:r w:rsidRPr="004F2B3D">
        <w:t>Attività istituzionale della UISP e mission Associativa</w:t>
      </w:r>
      <w:r w:rsidR="005E138E">
        <w:t xml:space="preserve">, </w:t>
      </w:r>
      <w:r>
        <w:t>-Respons</w:t>
      </w:r>
      <w:r w:rsidR="005E138E">
        <w:t xml:space="preserve">abilità minori e tutela privacy, </w:t>
      </w:r>
      <w:r>
        <w:t>-</w:t>
      </w:r>
      <w:r w:rsidRPr="004F2B3D">
        <w:t>Psico-pedagogia del bambino e dello sportivo</w:t>
      </w:r>
      <w:r w:rsidR="005E138E">
        <w:t>, - pronto soccorso BLS e uso del defibrillatore.</w:t>
      </w:r>
      <w:r w:rsidRPr="004F2B3D">
        <w:t xml:space="preserve"> </w:t>
      </w:r>
    </w:p>
    <w:p w:rsidR="00196F0E" w:rsidRDefault="00196F0E" w:rsidP="00533985">
      <w:pPr>
        <w:tabs>
          <w:tab w:val="center" w:pos="993"/>
        </w:tabs>
      </w:pPr>
    </w:p>
    <w:p w:rsidR="002E7428" w:rsidRPr="002E7428" w:rsidRDefault="002E7428" w:rsidP="002E7428">
      <w:pPr>
        <w:pStyle w:val="Paragrafoelenco"/>
        <w:numPr>
          <w:ilvl w:val="0"/>
          <w:numId w:val="3"/>
        </w:numPr>
        <w:rPr>
          <w:b/>
        </w:rPr>
      </w:pPr>
      <w:r w:rsidRPr="00B769BC">
        <w:rPr>
          <w:b/>
          <w:sz w:val="24"/>
          <w:szCs w:val="24"/>
        </w:rPr>
        <w:t xml:space="preserve">Proposta  </w:t>
      </w:r>
      <w:r>
        <w:rPr>
          <w:b/>
          <w:sz w:val="24"/>
          <w:szCs w:val="24"/>
        </w:rPr>
        <w:t>3 : MODULI per TECNICI di AREA COMUNE OSV/C (grigio - arancio – verde)</w:t>
      </w:r>
      <w:r w:rsidRPr="00B769BC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          </w:t>
      </w:r>
    </w:p>
    <w:p w:rsidR="002E7428" w:rsidRDefault="002E7428" w:rsidP="002E7428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</w:t>
      </w:r>
      <w:r w:rsidRPr="00B769BC">
        <w:rPr>
          <w:b/>
          <w:sz w:val="24"/>
          <w:szCs w:val="24"/>
        </w:rPr>
        <w:t xml:space="preserve">conseguimento Brevetto Osv   per operatori sportivi </w:t>
      </w:r>
    </w:p>
    <w:p w:rsidR="002E7428" w:rsidRDefault="002E7428" w:rsidP="002E7428">
      <w:pPr>
        <w:pStyle w:val="Paragrafoelenco"/>
        <w:rPr>
          <w:b/>
        </w:rPr>
      </w:pPr>
      <w:r>
        <w:rPr>
          <w:b/>
          <w:sz w:val="24"/>
          <w:szCs w:val="24"/>
        </w:rPr>
        <w:t xml:space="preserve">26 </w:t>
      </w:r>
      <w:r w:rsidRPr="00880B84">
        <w:rPr>
          <w:b/>
          <w:sz w:val="24"/>
          <w:szCs w:val="24"/>
        </w:rPr>
        <w:t xml:space="preserve"> ore </w:t>
      </w:r>
    </w:p>
    <w:p w:rsidR="002E7428" w:rsidRPr="00B769BC" w:rsidRDefault="002E7428" w:rsidP="002E7428">
      <w:pPr>
        <w:pStyle w:val="Paragrafoelenco"/>
        <w:rPr>
          <w:b/>
        </w:rPr>
      </w:pPr>
      <w:r>
        <w:rPr>
          <w:b/>
          <w:sz w:val="24"/>
          <w:szCs w:val="24"/>
        </w:rPr>
        <w:t>COSTO:</w:t>
      </w:r>
      <w:r>
        <w:rPr>
          <w:b/>
        </w:rPr>
        <w:t xml:space="preserve">  </w:t>
      </w:r>
      <w:r>
        <w:rPr>
          <w:b/>
          <w:sz w:val="24"/>
          <w:szCs w:val="24"/>
        </w:rPr>
        <w:t>11</w:t>
      </w:r>
      <w:r w:rsidRPr="00880B8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,00</w:t>
      </w:r>
      <w:r w:rsidRPr="00880B84">
        <w:rPr>
          <w:b/>
          <w:sz w:val="24"/>
          <w:szCs w:val="24"/>
        </w:rPr>
        <w:t xml:space="preserve"> Euro</w:t>
      </w:r>
    </w:p>
    <w:p w:rsidR="002E7428" w:rsidRDefault="00B54799" w:rsidP="00837CE5">
      <w:r>
        <w:t>La proposta è indirizzata a  operatori sportivi dell’area comune. Chi frequenta questa proposta formativa potrà proseguire con la formazione di  18 ore dell’area specifica sportiva non appena il corso verrà attivato, fare l’esame  e conseguire il brevetto OSV dell’area specifica di riferimento.</w:t>
      </w:r>
    </w:p>
    <w:p w:rsidR="00533985" w:rsidRDefault="00533985" w:rsidP="00837CE5"/>
    <w:p w:rsidR="00533985" w:rsidRDefault="00533985" w:rsidP="00837CE5"/>
    <w:p w:rsidR="00533985" w:rsidRDefault="00533985" w:rsidP="00837CE5"/>
    <w:p w:rsidR="00533985" w:rsidRDefault="00533985" w:rsidP="00837CE5"/>
    <w:p w:rsidR="00533985" w:rsidRPr="00533985" w:rsidRDefault="00533985" w:rsidP="00533985">
      <w:pPr>
        <w:pStyle w:val="Paragrafoelenco"/>
        <w:rPr>
          <w:b/>
        </w:rPr>
      </w:pPr>
    </w:p>
    <w:p w:rsidR="00533985" w:rsidRPr="00533985" w:rsidRDefault="00533985" w:rsidP="00533985">
      <w:pPr>
        <w:pStyle w:val="Paragrafoelenco"/>
        <w:rPr>
          <w:b/>
        </w:rPr>
      </w:pPr>
      <w:r w:rsidRPr="00533985">
        <w:rPr>
          <w:b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-347345</wp:posOffset>
            </wp:positionV>
            <wp:extent cx="1390650" cy="847725"/>
            <wp:effectExtent l="19050" t="0" r="0" b="0"/>
            <wp:wrapSquare wrapText="bothSides"/>
            <wp:docPr id="3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985" w:rsidRPr="00533985" w:rsidRDefault="00533985" w:rsidP="00533985">
      <w:pPr>
        <w:pStyle w:val="Paragrafoelenco"/>
        <w:rPr>
          <w:b/>
        </w:rPr>
      </w:pPr>
    </w:p>
    <w:p w:rsidR="00533985" w:rsidRDefault="00533985" w:rsidP="00533985">
      <w:pPr>
        <w:pStyle w:val="Paragrafoelenco"/>
        <w:rPr>
          <w:b/>
        </w:rPr>
      </w:pPr>
    </w:p>
    <w:p w:rsidR="00196F0E" w:rsidRDefault="00196F0E" w:rsidP="00533985">
      <w:pPr>
        <w:pStyle w:val="Paragrafoelenco"/>
        <w:rPr>
          <w:b/>
        </w:rPr>
      </w:pPr>
    </w:p>
    <w:p w:rsidR="00533985" w:rsidRPr="00533985" w:rsidRDefault="00533985" w:rsidP="00533985">
      <w:pPr>
        <w:pStyle w:val="Paragrafoelenco"/>
        <w:rPr>
          <w:b/>
        </w:rPr>
      </w:pPr>
    </w:p>
    <w:p w:rsidR="00FB0FC2" w:rsidRPr="00B54799" w:rsidRDefault="00D01733" w:rsidP="00FB0FC2">
      <w:pPr>
        <w:pStyle w:val="Paragrafoelenco"/>
        <w:numPr>
          <w:ilvl w:val="0"/>
          <w:numId w:val="3"/>
        </w:numPr>
        <w:rPr>
          <w:b/>
        </w:rPr>
      </w:pPr>
      <w:r>
        <w:rPr>
          <w:b/>
          <w:sz w:val="24"/>
          <w:szCs w:val="24"/>
        </w:rPr>
        <w:t>Proposta</w:t>
      </w:r>
      <w:r w:rsidR="00B769BC" w:rsidRPr="00B769BC">
        <w:rPr>
          <w:b/>
          <w:sz w:val="24"/>
          <w:szCs w:val="24"/>
        </w:rPr>
        <w:t xml:space="preserve"> </w:t>
      </w:r>
      <w:proofErr w:type="gramStart"/>
      <w:r w:rsidR="00B54799"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: </w:t>
      </w:r>
      <w:r w:rsidR="00B769BC">
        <w:rPr>
          <w:b/>
          <w:sz w:val="24"/>
          <w:szCs w:val="24"/>
        </w:rPr>
        <w:t xml:space="preserve"> </w:t>
      </w:r>
      <w:r w:rsidR="00880B84">
        <w:rPr>
          <w:b/>
          <w:sz w:val="24"/>
          <w:szCs w:val="24"/>
        </w:rPr>
        <w:t>MODULI</w:t>
      </w:r>
      <w:r w:rsidR="00B769BC">
        <w:rPr>
          <w:b/>
          <w:sz w:val="24"/>
          <w:szCs w:val="24"/>
        </w:rPr>
        <w:t xml:space="preserve"> OSV</w:t>
      </w:r>
      <w:r w:rsidR="00880B84">
        <w:rPr>
          <w:b/>
          <w:sz w:val="24"/>
          <w:szCs w:val="24"/>
        </w:rPr>
        <w:t>/LG</w:t>
      </w:r>
      <w:r w:rsidR="00B769BC">
        <w:rPr>
          <w:b/>
          <w:sz w:val="24"/>
          <w:szCs w:val="24"/>
        </w:rPr>
        <w:t xml:space="preserve"> </w:t>
      </w:r>
      <w:r w:rsidR="00880B84">
        <w:rPr>
          <w:b/>
          <w:sz w:val="24"/>
          <w:szCs w:val="24"/>
        </w:rPr>
        <w:t xml:space="preserve">PERCORSO </w:t>
      </w:r>
      <w:r w:rsidR="00B769BC">
        <w:rPr>
          <w:b/>
          <w:sz w:val="24"/>
          <w:szCs w:val="24"/>
        </w:rPr>
        <w:t>COMPLETO (grigio - arancio – verde – rosa)</w:t>
      </w:r>
      <w:r w:rsidR="00B769BC" w:rsidRPr="00B769BC">
        <w:rPr>
          <w:b/>
          <w:sz w:val="24"/>
          <w:szCs w:val="24"/>
        </w:rPr>
        <w:t xml:space="preserve"> : </w:t>
      </w:r>
      <w:r w:rsidR="00B769BC">
        <w:rPr>
          <w:b/>
          <w:sz w:val="24"/>
          <w:szCs w:val="24"/>
        </w:rPr>
        <w:t xml:space="preserve">          </w:t>
      </w:r>
      <w:r w:rsidR="00B769BC" w:rsidRPr="00B54799">
        <w:rPr>
          <w:b/>
          <w:sz w:val="24"/>
          <w:szCs w:val="24"/>
        </w:rPr>
        <w:t xml:space="preserve">conseguimento Brevetto Osv   </w:t>
      </w:r>
      <w:r w:rsidR="00E323C9" w:rsidRPr="00B54799">
        <w:rPr>
          <w:b/>
          <w:sz w:val="24"/>
          <w:szCs w:val="24"/>
        </w:rPr>
        <w:t xml:space="preserve">per operatori sportivi </w:t>
      </w:r>
      <w:r w:rsidR="00FB0FC2" w:rsidRPr="00B54799">
        <w:rPr>
          <w:b/>
          <w:sz w:val="24"/>
          <w:szCs w:val="24"/>
        </w:rPr>
        <w:t xml:space="preserve">del settore </w:t>
      </w:r>
      <w:r w:rsidR="00E323C9" w:rsidRPr="00B54799">
        <w:rPr>
          <w:b/>
          <w:sz w:val="24"/>
          <w:szCs w:val="24"/>
        </w:rPr>
        <w:t xml:space="preserve">le Ginnastiche </w:t>
      </w:r>
      <w:r w:rsidR="00B769BC" w:rsidRPr="00B54799">
        <w:rPr>
          <w:b/>
          <w:sz w:val="24"/>
          <w:szCs w:val="24"/>
        </w:rPr>
        <w:t xml:space="preserve"> (con esame) </w:t>
      </w:r>
      <w:r w:rsidR="00401C90" w:rsidRPr="00B54799">
        <w:rPr>
          <w:b/>
          <w:sz w:val="24"/>
          <w:szCs w:val="24"/>
        </w:rPr>
        <w:t xml:space="preserve">e certificazione all’uso del defibrillatore </w:t>
      </w:r>
      <w:r w:rsidR="00B769BC" w:rsidRPr="00B54799">
        <w:rPr>
          <w:b/>
          <w:sz w:val="24"/>
          <w:szCs w:val="24"/>
        </w:rPr>
        <w:t xml:space="preserve">- </w:t>
      </w:r>
      <w:r w:rsidR="00FB0FC2" w:rsidRPr="00B54799">
        <w:rPr>
          <w:b/>
          <w:sz w:val="24"/>
          <w:szCs w:val="24"/>
        </w:rPr>
        <w:t>44 ore + 4 ore di esame</w:t>
      </w:r>
    </w:p>
    <w:p w:rsidR="00880B84" w:rsidRPr="00B769BC" w:rsidRDefault="00880B84" w:rsidP="00880B84">
      <w:pPr>
        <w:pStyle w:val="Paragrafoelenco"/>
        <w:rPr>
          <w:b/>
        </w:rPr>
      </w:pPr>
      <w:r>
        <w:rPr>
          <w:b/>
          <w:sz w:val="24"/>
          <w:szCs w:val="24"/>
        </w:rPr>
        <w:t>COSTO:</w:t>
      </w:r>
      <w:r>
        <w:rPr>
          <w:b/>
        </w:rPr>
        <w:t xml:space="preserve">  </w:t>
      </w:r>
      <w:r w:rsidRPr="00880B84">
        <w:rPr>
          <w:b/>
          <w:sz w:val="24"/>
          <w:szCs w:val="24"/>
        </w:rPr>
        <w:t>140</w:t>
      </w:r>
      <w:r>
        <w:rPr>
          <w:b/>
          <w:sz w:val="24"/>
          <w:szCs w:val="24"/>
        </w:rPr>
        <w:t>,00</w:t>
      </w:r>
      <w:r w:rsidRPr="00880B84">
        <w:rPr>
          <w:b/>
          <w:sz w:val="24"/>
          <w:szCs w:val="24"/>
        </w:rPr>
        <w:t xml:space="preserve"> Euro</w:t>
      </w:r>
    </w:p>
    <w:p w:rsidR="00401C90" w:rsidRDefault="00880B84" w:rsidP="00FB0FC2">
      <w:pPr>
        <w:rPr>
          <w:b/>
        </w:rPr>
      </w:pPr>
      <w:r w:rsidRPr="00B54799">
        <w:rPr>
          <w:b/>
        </w:rPr>
        <w:t xml:space="preserve">La proposta OSV/LG è costituita da una parte di area comune (moduli grigio-arancio e verde) ed una parte specifica di </w:t>
      </w:r>
      <w:r w:rsidR="00401C90" w:rsidRPr="00B54799">
        <w:rPr>
          <w:b/>
        </w:rPr>
        <w:t>area Le Ginnastiche (modulo rosa).</w:t>
      </w:r>
    </w:p>
    <w:p w:rsidR="00FB0FC2" w:rsidRDefault="00A04AEE" w:rsidP="00FB0FC2">
      <w:r>
        <w:t>La frequenza obbligatoria per accedere all’esame finale e ottenere la qualifica è del 70% delle lezioni.</w:t>
      </w:r>
      <w:r w:rsidR="00FB0FC2">
        <w:t xml:space="preserve">               </w:t>
      </w:r>
      <w:r>
        <w:t xml:space="preserve"> </w:t>
      </w:r>
      <w:r w:rsidRPr="00B54799">
        <w:t>I tecnici FGI</w:t>
      </w:r>
      <w:r w:rsidR="00FB0FC2" w:rsidRPr="00B54799">
        <w:t xml:space="preserve"> possono ottenere l’equiparazione e conseguire il brevetto OSV:</w:t>
      </w:r>
    </w:p>
    <w:p w:rsidR="00FB0FC2" w:rsidRPr="00FB0FC2" w:rsidRDefault="00FB0FC2" w:rsidP="00FB0FC2">
      <w:pPr>
        <w:pStyle w:val="Paragrafoelenco"/>
        <w:numPr>
          <w:ilvl w:val="0"/>
          <w:numId w:val="4"/>
        </w:numPr>
        <w:rPr>
          <w:b/>
        </w:rPr>
      </w:pPr>
      <w:r>
        <w:t>presentando fotocopia della loro qualifica FGI</w:t>
      </w:r>
    </w:p>
    <w:p w:rsidR="00FB0FC2" w:rsidRPr="00FB0FC2" w:rsidRDefault="00FB0FC2" w:rsidP="00FB0FC2">
      <w:pPr>
        <w:pStyle w:val="Paragrafoelenco"/>
        <w:numPr>
          <w:ilvl w:val="0"/>
          <w:numId w:val="4"/>
        </w:numPr>
        <w:rPr>
          <w:b/>
        </w:rPr>
      </w:pPr>
      <w:r w:rsidRPr="00FB0FC2">
        <w:t>frequentando la lezion</w:t>
      </w:r>
      <w:r>
        <w:t>e “Attività istituzionale Uisp”</w:t>
      </w:r>
    </w:p>
    <w:p w:rsidR="00FB0FC2" w:rsidRPr="00FB0FC2" w:rsidRDefault="00FB0FC2" w:rsidP="00FB0FC2">
      <w:pPr>
        <w:pStyle w:val="Paragrafoelenco"/>
        <w:numPr>
          <w:ilvl w:val="0"/>
          <w:numId w:val="4"/>
        </w:numPr>
        <w:rPr>
          <w:b/>
        </w:rPr>
      </w:pPr>
      <w:r>
        <w:t xml:space="preserve">sostenendo l’esame finale. </w:t>
      </w:r>
    </w:p>
    <w:p w:rsidR="00695348" w:rsidRPr="00FB0FC2" w:rsidRDefault="00A04AEE" w:rsidP="00FB0FC2">
      <w:pPr>
        <w:rPr>
          <w:b/>
        </w:rPr>
      </w:pPr>
      <w:r>
        <w:t>Coloro che partecipano al corso devono essere in possesso della tessera uisp 2015-16.</w:t>
      </w:r>
    </w:p>
    <w:p w:rsidR="00533985" w:rsidRPr="00533985" w:rsidRDefault="00B0315B" w:rsidP="00533985">
      <w:r>
        <w:t xml:space="preserve">Quota d’iscrizione € 140,00. Include le ore di frequenza alle lezioni teoriche e pratiche, le dispense di lavoro e i materiali didattici, l’attestato di frequenza e il cartellino tecnico nazionale. </w:t>
      </w:r>
    </w:p>
    <w:p w:rsidR="00533985" w:rsidRPr="00533985" w:rsidRDefault="00533985" w:rsidP="00533985">
      <w:pPr>
        <w:pStyle w:val="Paragrafoelenco"/>
        <w:rPr>
          <w:b/>
        </w:rPr>
      </w:pPr>
    </w:p>
    <w:p w:rsidR="005E138E" w:rsidRPr="00401C90" w:rsidRDefault="005E138E" w:rsidP="005E138E">
      <w:pPr>
        <w:pStyle w:val="Paragrafoelenco"/>
        <w:numPr>
          <w:ilvl w:val="0"/>
          <w:numId w:val="3"/>
        </w:numPr>
        <w:rPr>
          <w:b/>
        </w:rPr>
      </w:pPr>
      <w:r w:rsidRPr="00B769BC">
        <w:rPr>
          <w:b/>
          <w:sz w:val="24"/>
          <w:szCs w:val="24"/>
        </w:rPr>
        <w:t xml:space="preserve">Proposta  </w:t>
      </w:r>
      <w:r>
        <w:rPr>
          <w:b/>
          <w:sz w:val="24"/>
          <w:szCs w:val="24"/>
        </w:rPr>
        <w:t>5 : MODULO per DIRIGENTI SPORTIVI</w:t>
      </w:r>
      <w:r w:rsidRPr="00837C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(arancio): </w:t>
      </w:r>
    </w:p>
    <w:p w:rsidR="005E138E" w:rsidRDefault="005E138E" w:rsidP="005E138E">
      <w:pPr>
        <w:pStyle w:val="Paragrafoelenco"/>
        <w:rPr>
          <w:b/>
        </w:rPr>
      </w:pPr>
      <w:r>
        <w:rPr>
          <w:b/>
          <w:sz w:val="24"/>
          <w:szCs w:val="24"/>
        </w:rPr>
        <w:t>12</w:t>
      </w:r>
      <w:r w:rsidRPr="00880B84">
        <w:rPr>
          <w:b/>
          <w:sz w:val="24"/>
          <w:szCs w:val="24"/>
        </w:rPr>
        <w:t xml:space="preserve"> ore </w:t>
      </w:r>
    </w:p>
    <w:p w:rsidR="005E138E" w:rsidRPr="00B769BC" w:rsidRDefault="005E138E" w:rsidP="005E138E">
      <w:pPr>
        <w:pStyle w:val="Paragrafoelenco"/>
        <w:rPr>
          <w:b/>
        </w:rPr>
      </w:pPr>
      <w:r>
        <w:rPr>
          <w:b/>
          <w:sz w:val="24"/>
          <w:szCs w:val="24"/>
        </w:rPr>
        <w:t>COSTO:</w:t>
      </w:r>
      <w:r>
        <w:rPr>
          <w:b/>
        </w:rPr>
        <w:t xml:space="preserve">  </w:t>
      </w:r>
      <w:r>
        <w:rPr>
          <w:b/>
          <w:sz w:val="24"/>
          <w:szCs w:val="24"/>
        </w:rPr>
        <w:t>30,00</w:t>
      </w:r>
      <w:r w:rsidRPr="00880B84">
        <w:rPr>
          <w:b/>
          <w:sz w:val="24"/>
          <w:szCs w:val="24"/>
        </w:rPr>
        <w:t xml:space="preserve"> Euro</w:t>
      </w:r>
    </w:p>
    <w:p w:rsidR="005E138E" w:rsidRDefault="005E138E" w:rsidP="005E138E">
      <w:pPr>
        <w:tabs>
          <w:tab w:val="center" w:pos="993"/>
        </w:tabs>
      </w:pPr>
      <w:r>
        <w:t>Il percorso rappresenta un’utile formazione per i Dirigenti sportivi che vogliano approfondire i seguenti temi:  -</w:t>
      </w:r>
      <w:r w:rsidRPr="00B0315B">
        <w:t xml:space="preserve"> </w:t>
      </w:r>
      <w:r w:rsidRPr="004F2B3D">
        <w:t>Attività istituzionale della UISP e mission Associativa</w:t>
      </w:r>
      <w:r>
        <w:t>, -Responsabilità minori e tutela privacy, -</w:t>
      </w:r>
      <w:r w:rsidRPr="004F2B3D">
        <w:t>Psico-pedagogia del bambino e dello sportivo</w:t>
      </w:r>
      <w:r>
        <w:t xml:space="preserve"> ed esclude la parte relativa al  pronto soccorso BLS e uso del defibrillatore.</w:t>
      </w:r>
      <w:r w:rsidRPr="004F2B3D">
        <w:t xml:space="preserve"> </w:t>
      </w:r>
    </w:p>
    <w:p w:rsidR="00A04AEE" w:rsidRPr="00D46FDC" w:rsidRDefault="005E138E" w:rsidP="00C70A98">
      <w:pPr>
        <w:rPr>
          <w:b/>
        </w:rPr>
      </w:pPr>
      <w:r>
        <w:rPr>
          <w:b/>
        </w:rPr>
        <w:t>MODALITA’ DI PAGAMENTO</w:t>
      </w:r>
    </w:p>
    <w:p w:rsidR="00157551" w:rsidRPr="004F1603" w:rsidRDefault="00157551" w:rsidP="00C70A98">
      <w:pPr>
        <w:rPr>
          <w:b/>
          <w:u w:val="single"/>
        </w:rPr>
      </w:pPr>
      <w:r>
        <w:t>• Bonifico bancario</w:t>
      </w:r>
      <w:r w:rsidR="004F1603">
        <w:t xml:space="preserve"> da effettuarsi </w:t>
      </w:r>
      <w:r w:rsidR="004F1603" w:rsidRPr="004F1603">
        <w:rPr>
          <w:b/>
          <w:u w:val="single"/>
        </w:rPr>
        <w:t>entro il 4 gennaio 2016</w:t>
      </w:r>
    </w:p>
    <w:p w:rsidR="00157551" w:rsidRDefault="00157551" w:rsidP="00C70A98">
      <w:r>
        <w:t>-</w:t>
      </w:r>
      <w:r w:rsidR="00C70A98">
        <w:t>IBAN : IT</w:t>
      </w:r>
      <w:r w:rsidR="00D46FDC">
        <w:t xml:space="preserve"> 09 J 08304 01814 000019300793 </w:t>
      </w:r>
    </w:p>
    <w:p w:rsidR="00157551" w:rsidRDefault="00157551" w:rsidP="00C70A98">
      <w:r>
        <w:t>-</w:t>
      </w:r>
      <w:r w:rsidR="00C70A98">
        <w:t xml:space="preserve">c/c intestato a UISP Comitato </w:t>
      </w:r>
      <w:r>
        <w:t xml:space="preserve"> del Trentino- Via al Torrione n.6 Trento, presso Cassa Rurale Trento</w:t>
      </w:r>
    </w:p>
    <w:p w:rsidR="00157551" w:rsidRDefault="00157551" w:rsidP="00C70A98">
      <w:r>
        <w:t>-Casuale: Corso Osv 2016 Nome Cognome del corsista.</w:t>
      </w:r>
    </w:p>
    <w:p w:rsidR="00157551" w:rsidRPr="00157551" w:rsidRDefault="005E138E" w:rsidP="00C70A98">
      <w:pPr>
        <w:rPr>
          <w:b/>
        </w:rPr>
      </w:pPr>
      <w:r>
        <w:rPr>
          <w:b/>
        </w:rPr>
        <w:t>ISCRIZIONI</w:t>
      </w:r>
    </w:p>
    <w:p w:rsidR="00C70A98" w:rsidRPr="00196F0E" w:rsidRDefault="00C70A98" w:rsidP="00C70A98">
      <w:r>
        <w:t xml:space="preserve">Le iscrizioni dovranno pervenire </w:t>
      </w:r>
      <w:r w:rsidRPr="004F1603">
        <w:rPr>
          <w:b/>
          <w:u w:val="single"/>
        </w:rPr>
        <w:t xml:space="preserve">entro il </w:t>
      </w:r>
      <w:r w:rsidR="004F1603" w:rsidRPr="004F1603">
        <w:rPr>
          <w:b/>
          <w:u w:val="single"/>
        </w:rPr>
        <w:t>30</w:t>
      </w:r>
      <w:r w:rsidR="00157551" w:rsidRPr="004F1603">
        <w:rPr>
          <w:b/>
          <w:u w:val="single"/>
        </w:rPr>
        <w:t xml:space="preserve"> </w:t>
      </w:r>
      <w:r w:rsidR="004F1603" w:rsidRPr="004F1603">
        <w:rPr>
          <w:b/>
          <w:u w:val="single"/>
        </w:rPr>
        <w:t>dicembre 2015</w:t>
      </w:r>
      <w:r w:rsidR="00157551">
        <w:t xml:space="preserve"> </w:t>
      </w:r>
      <w:r>
        <w:t xml:space="preserve">tramite </w:t>
      </w:r>
      <w:proofErr w:type="gramStart"/>
      <w:r>
        <w:t>apposito</w:t>
      </w:r>
      <w:proofErr w:type="gramEnd"/>
      <w:r>
        <w:t xml:space="preserve"> modulo allegato e pubblicato sul sito internet </w:t>
      </w:r>
      <w:r w:rsidR="00157551" w:rsidRPr="00157551">
        <w:t>http://www.uisp.it/trento/</w:t>
      </w:r>
    </w:p>
    <w:sectPr w:rsidR="00C70A98" w:rsidRPr="00196F0E" w:rsidSect="00205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779"/>
    <w:multiLevelType w:val="hybridMultilevel"/>
    <w:tmpl w:val="B6A8F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39E3"/>
    <w:multiLevelType w:val="hybridMultilevel"/>
    <w:tmpl w:val="E4EE2C8E"/>
    <w:lvl w:ilvl="0" w:tplc="09E84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65393"/>
    <w:multiLevelType w:val="hybridMultilevel"/>
    <w:tmpl w:val="F7A4E0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2978F1"/>
    <w:multiLevelType w:val="hybridMultilevel"/>
    <w:tmpl w:val="3714467A"/>
    <w:lvl w:ilvl="0" w:tplc="1C868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03367"/>
    <w:rsid w:val="000926D1"/>
    <w:rsid w:val="000A364C"/>
    <w:rsid w:val="00106A81"/>
    <w:rsid w:val="00157551"/>
    <w:rsid w:val="00196F0E"/>
    <w:rsid w:val="001C581D"/>
    <w:rsid w:val="001C65F2"/>
    <w:rsid w:val="0020268A"/>
    <w:rsid w:val="0020531F"/>
    <w:rsid w:val="00217AA0"/>
    <w:rsid w:val="002506B4"/>
    <w:rsid w:val="002E1880"/>
    <w:rsid w:val="002E7428"/>
    <w:rsid w:val="002F41BF"/>
    <w:rsid w:val="0031794E"/>
    <w:rsid w:val="00401C90"/>
    <w:rsid w:val="004B7DA9"/>
    <w:rsid w:val="004E558D"/>
    <w:rsid w:val="004F1603"/>
    <w:rsid w:val="004F2B3D"/>
    <w:rsid w:val="00533985"/>
    <w:rsid w:val="005E138E"/>
    <w:rsid w:val="00603367"/>
    <w:rsid w:val="006127F5"/>
    <w:rsid w:val="00695348"/>
    <w:rsid w:val="007421C5"/>
    <w:rsid w:val="00771F0F"/>
    <w:rsid w:val="007F2F46"/>
    <w:rsid w:val="00831303"/>
    <w:rsid w:val="00837CE5"/>
    <w:rsid w:val="00880B84"/>
    <w:rsid w:val="008E0DA1"/>
    <w:rsid w:val="008E3146"/>
    <w:rsid w:val="008E316E"/>
    <w:rsid w:val="00910FE9"/>
    <w:rsid w:val="009B3713"/>
    <w:rsid w:val="00A04AEE"/>
    <w:rsid w:val="00A307F9"/>
    <w:rsid w:val="00A523F5"/>
    <w:rsid w:val="00A72C5D"/>
    <w:rsid w:val="00B0315B"/>
    <w:rsid w:val="00B54799"/>
    <w:rsid w:val="00B769BC"/>
    <w:rsid w:val="00BF2821"/>
    <w:rsid w:val="00C70A98"/>
    <w:rsid w:val="00D01733"/>
    <w:rsid w:val="00D46FDC"/>
    <w:rsid w:val="00E323C9"/>
    <w:rsid w:val="00EA1CDC"/>
    <w:rsid w:val="00F57029"/>
    <w:rsid w:val="00F77CDD"/>
    <w:rsid w:val="00FB0FC2"/>
    <w:rsid w:val="00FC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6B4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1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BBFF-0329-4A86-BE28-74747D72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robertal</dc:creator>
  <cp:lastModifiedBy>robertal</cp:lastModifiedBy>
  <cp:revision>18</cp:revision>
  <dcterms:created xsi:type="dcterms:W3CDTF">2015-12-11T15:20:00Z</dcterms:created>
  <dcterms:modified xsi:type="dcterms:W3CDTF">2015-12-12T10:38:00Z</dcterms:modified>
</cp:coreProperties>
</file>